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96" w:rsidRPr="00230696" w:rsidRDefault="00230696" w:rsidP="00230696">
      <w:pPr>
        <w:spacing w:after="0" w:line="240" w:lineRule="auto"/>
        <w:rPr>
          <w:rFonts w:ascii="Calibri" w:eastAsia="Calibri" w:hAnsi="Calibri" w:cs="Times New Roman"/>
        </w:rPr>
      </w:pPr>
      <w:bookmarkStart w:id="0" w:name="_GoBack"/>
      <w:bookmarkEnd w:id="0"/>
    </w:p>
    <w:p w:rsidR="00230696" w:rsidRPr="00230696" w:rsidRDefault="00230696" w:rsidP="0023069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rPr>
      </w:pPr>
    </w:p>
    <w:p w:rsidR="00230696" w:rsidRPr="003C17A7" w:rsidRDefault="00230696" w:rsidP="0023069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rPr>
      </w:pPr>
      <w:r w:rsidRPr="003C17A7">
        <w:rPr>
          <w:rFonts w:ascii="Calibri" w:eastAsia="Calibri" w:hAnsi="Calibri" w:cs="Times New Roman"/>
          <w:b/>
        </w:rPr>
        <w:t>AVENANT N°3</w:t>
      </w:r>
    </w:p>
    <w:p w:rsidR="00230696" w:rsidRPr="003C17A7" w:rsidRDefault="00230696" w:rsidP="0023069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rPr>
      </w:pPr>
    </w:p>
    <w:p w:rsidR="00230696" w:rsidRPr="003C17A7" w:rsidRDefault="00230696" w:rsidP="0023069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rPr>
      </w:pPr>
      <w:r w:rsidRPr="003C17A7">
        <w:rPr>
          <w:rFonts w:ascii="Calibri" w:eastAsia="Calibri" w:hAnsi="Calibri" w:cs="Times New Roman"/>
          <w:b/>
        </w:rPr>
        <w:t>A L’ACCORD DU 2 OCTOBRE 2006 SUR LE REGIME DE REMBOURSEMENT</w:t>
      </w:r>
    </w:p>
    <w:p w:rsidR="00230696" w:rsidRPr="003C17A7" w:rsidRDefault="00230696" w:rsidP="0023069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rPr>
      </w:pPr>
    </w:p>
    <w:p w:rsidR="00230696" w:rsidRPr="003C17A7" w:rsidRDefault="00230696" w:rsidP="0023069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rPr>
      </w:pPr>
      <w:r w:rsidRPr="003C17A7">
        <w:rPr>
          <w:rFonts w:ascii="Calibri" w:eastAsia="Calibri" w:hAnsi="Calibri" w:cs="Times New Roman"/>
          <w:b/>
        </w:rPr>
        <w:t>DES FRAIS MEDICAUX DE L’UNITE ECONOMIQUE ET SOCIALE CAPGEMINI</w:t>
      </w:r>
    </w:p>
    <w:p w:rsidR="00230696" w:rsidRPr="003C17A7" w:rsidRDefault="00230696" w:rsidP="0023069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rPr>
      </w:pP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r w:rsidRPr="003C17A7">
        <w:rPr>
          <w:rFonts w:ascii="Calibri" w:eastAsia="Calibri" w:hAnsi="Calibri" w:cs="Times New Roman"/>
        </w:rPr>
        <w:t>Entre :</w:t>
      </w: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p>
    <w:p w:rsidR="0082399E" w:rsidRPr="003C17A7" w:rsidRDefault="00230696" w:rsidP="00230696">
      <w:pPr>
        <w:spacing w:after="0" w:line="240" w:lineRule="auto"/>
        <w:rPr>
          <w:rFonts w:ascii="Calibri" w:eastAsia="Calibri" w:hAnsi="Calibri" w:cs="Times New Roman"/>
        </w:rPr>
      </w:pPr>
      <w:r w:rsidRPr="003C17A7">
        <w:rPr>
          <w:rFonts w:ascii="Calibri" w:eastAsia="Calibri" w:hAnsi="Calibri" w:cs="Times New Roman"/>
          <w:b/>
        </w:rPr>
        <w:t>Les sociétés de l’Unité Économique et Sociale Capgemini</w:t>
      </w:r>
      <w:r w:rsidRPr="003C17A7">
        <w:rPr>
          <w:rFonts w:ascii="Calibri" w:eastAsia="Calibri" w:hAnsi="Calibri" w:cs="Times New Roman"/>
        </w:rPr>
        <w:t xml:space="preserve">, représentées par </w:t>
      </w:r>
    </w:p>
    <w:p w:rsidR="0082399E" w:rsidRPr="003C17A7" w:rsidRDefault="0082399E"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r w:rsidRPr="003C17A7">
        <w:rPr>
          <w:rFonts w:ascii="Calibri" w:eastAsia="Calibri" w:hAnsi="Calibri" w:cs="Times New Roman"/>
        </w:rPr>
        <w:t>…………………………………………………………………………………………………………………………………..………….……………, dûment habilité</w:t>
      </w:r>
      <w:r w:rsidR="00E4437B" w:rsidRPr="003C17A7">
        <w:rPr>
          <w:rFonts w:ascii="Calibri" w:eastAsia="Calibri" w:hAnsi="Calibri" w:cs="Times New Roman"/>
        </w:rPr>
        <w:t>(e)</w:t>
      </w:r>
      <w:r w:rsidRPr="003C17A7">
        <w:rPr>
          <w:rFonts w:ascii="Calibri" w:eastAsia="Calibri" w:hAnsi="Calibri" w:cs="Times New Roman"/>
        </w:rPr>
        <w:t xml:space="preserve">, </w:t>
      </w:r>
    </w:p>
    <w:p w:rsidR="00230696" w:rsidRPr="003C17A7" w:rsidRDefault="00230696" w:rsidP="00230696">
      <w:pPr>
        <w:spacing w:after="0" w:line="240" w:lineRule="auto"/>
        <w:jc w:val="right"/>
        <w:rPr>
          <w:rFonts w:ascii="Calibri" w:eastAsia="Calibri" w:hAnsi="Calibri" w:cs="Times New Roman"/>
        </w:rPr>
      </w:pPr>
      <w:r w:rsidRPr="003C17A7">
        <w:rPr>
          <w:rFonts w:ascii="Calibri" w:eastAsia="Calibri" w:hAnsi="Calibri" w:cs="Times New Roman"/>
        </w:rPr>
        <w:t>d’une part,</w:t>
      </w: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r w:rsidRPr="003C17A7">
        <w:rPr>
          <w:rFonts w:ascii="Calibri" w:eastAsia="Calibri" w:hAnsi="Calibri" w:cs="Times New Roman"/>
        </w:rPr>
        <w:t xml:space="preserve">Et </w:t>
      </w: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r w:rsidRPr="003C17A7">
        <w:rPr>
          <w:rFonts w:ascii="Calibri" w:eastAsia="Calibri" w:hAnsi="Calibri" w:cs="Times New Roman"/>
          <w:b/>
        </w:rPr>
        <w:t>Les Organisations Syndicales représentatives</w:t>
      </w:r>
      <w:r w:rsidRPr="003C17A7">
        <w:rPr>
          <w:rFonts w:ascii="Calibri" w:eastAsia="Calibri" w:hAnsi="Calibri" w:cs="Times New Roman"/>
        </w:rPr>
        <w:t>, à savoir :</w:t>
      </w: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numPr>
          <w:ilvl w:val="0"/>
          <w:numId w:val="1"/>
        </w:numPr>
        <w:spacing w:after="0" w:line="240" w:lineRule="auto"/>
        <w:contextualSpacing/>
        <w:rPr>
          <w:rFonts w:ascii="Calibri" w:eastAsia="Calibri" w:hAnsi="Calibri" w:cs="Times New Roman"/>
        </w:rPr>
      </w:pPr>
      <w:r w:rsidRPr="003C17A7">
        <w:rPr>
          <w:rFonts w:ascii="Calibri" w:eastAsia="Calibri" w:hAnsi="Calibri" w:cs="Times New Roman"/>
        </w:rPr>
        <w:t>La F3C-CFDT, représentée par …………………………………………………………………………………………………</w:t>
      </w: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numPr>
          <w:ilvl w:val="0"/>
          <w:numId w:val="1"/>
        </w:numPr>
        <w:spacing w:after="0" w:line="240" w:lineRule="auto"/>
        <w:contextualSpacing/>
        <w:rPr>
          <w:rFonts w:ascii="Calibri" w:eastAsia="Calibri" w:hAnsi="Calibri" w:cs="Times New Roman"/>
        </w:rPr>
      </w:pPr>
      <w:r w:rsidRPr="003C17A7">
        <w:rPr>
          <w:rFonts w:ascii="Calibri" w:eastAsia="Calibri" w:hAnsi="Calibri" w:cs="Times New Roman"/>
        </w:rPr>
        <w:t>Le syndicat SNEPSSI (CFE-CGC), représenté par ……………………………………………………………………..</w:t>
      </w: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numPr>
          <w:ilvl w:val="0"/>
          <w:numId w:val="1"/>
        </w:numPr>
        <w:spacing w:after="0" w:line="240" w:lineRule="auto"/>
        <w:contextualSpacing/>
        <w:rPr>
          <w:rFonts w:ascii="Calibri" w:eastAsia="Calibri" w:hAnsi="Calibri" w:cs="Times New Roman"/>
        </w:rPr>
      </w:pPr>
      <w:r w:rsidRPr="003C17A7">
        <w:rPr>
          <w:rFonts w:ascii="Calibri" w:eastAsia="Calibri" w:hAnsi="Calibri" w:cs="Times New Roman"/>
        </w:rPr>
        <w:t>Le syndicat SICSTI (CFTC), représenté par …………………………………………………………………………….…</w:t>
      </w: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numPr>
          <w:ilvl w:val="0"/>
          <w:numId w:val="1"/>
        </w:numPr>
        <w:spacing w:after="0" w:line="240" w:lineRule="auto"/>
        <w:contextualSpacing/>
        <w:rPr>
          <w:rFonts w:ascii="Calibri" w:eastAsia="Calibri" w:hAnsi="Calibri" w:cs="Times New Roman"/>
        </w:rPr>
      </w:pPr>
      <w:r w:rsidRPr="003C17A7">
        <w:rPr>
          <w:rFonts w:ascii="Calibri" w:eastAsia="Calibri" w:hAnsi="Calibri" w:cs="Times New Roman"/>
        </w:rPr>
        <w:t>La CGT Capgemini, représentée par …………………………………………………………..……………………………</w:t>
      </w: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numPr>
          <w:ilvl w:val="0"/>
          <w:numId w:val="1"/>
        </w:numPr>
        <w:spacing w:after="0" w:line="240" w:lineRule="auto"/>
        <w:contextualSpacing/>
        <w:rPr>
          <w:rFonts w:ascii="Calibri" w:eastAsia="Calibri" w:hAnsi="Calibri" w:cs="Times New Roman"/>
        </w:rPr>
      </w:pPr>
      <w:r w:rsidRPr="003C17A7">
        <w:rPr>
          <w:rFonts w:ascii="Calibri" w:eastAsia="Calibri" w:hAnsi="Calibri" w:cs="Times New Roman"/>
        </w:rPr>
        <w:t>FO, représentée par ………………………………………………………………………………..………………………………</w:t>
      </w: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spacing w:after="0" w:line="240" w:lineRule="auto"/>
        <w:ind w:left="720"/>
        <w:contextualSpacing/>
        <w:jc w:val="right"/>
        <w:rPr>
          <w:rFonts w:ascii="Calibri" w:eastAsia="Calibri" w:hAnsi="Calibri" w:cs="Times New Roman"/>
        </w:rPr>
      </w:pPr>
      <w:r w:rsidRPr="003C17A7">
        <w:rPr>
          <w:rFonts w:ascii="Calibri" w:eastAsia="Calibri" w:hAnsi="Calibri" w:cs="Times New Roman"/>
        </w:rPr>
        <w:t>d’autre part,</w:t>
      </w:r>
    </w:p>
    <w:p w:rsidR="00230696" w:rsidRPr="003C17A7" w:rsidRDefault="00230696" w:rsidP="00230696">
      <w:pPr>
        <w:spacing w:after="0" w:line="240" w:lineRule="auto"/>
        <w:ind w:left="720"/>
        <w:contextualSpacing/>
        <w:rPr>
          <w:rFonts w:ascii="Calibri" w:eastAsia="Calibri" w:hAnsi="Calibri" w:cs="Times New Roman"/>
        </w:rPr>
      </w:pPr>
    </w:p>
    <w:p w:rsidR="00230696" w:rsidRPr="003C17A7" w:rsidRDefault="00230696" w:rsidP="00230696">
      <w:pPr>
        <w:spacing w:after="0" w:line="240" w:lineRule="auto"/>
        <w:contextualSpacing/>
        <w:rPr>
          <w:rFonts w:ascii="Calibri" w:eastAsia="Calibri" w:hAnsi="Calibri" w:cs="Times New Roman"/>
        </w:rPr>
      </w:pPr>
    </w:p>
    <w:p w:rsidR="00230696" w:rsidRPr="003C17A7" w:rsidRDefault="00230696" w:rsidP="00230696">
      <w:pPr>
        <w:spacing w:after="0" w:line="240" w:lineRule="auto"/>
        <w:contextualSpacing/>
        <w:rPr>
          <w:rFonts w:ascii="Calibri" w:eastAsia="Calibri" w:hAnsi="Calibri" w:cs="Times New Roman"/>
        </w:rPr>
      </w:pPr>
      <w:r w:rsidRPr="003C17A7">
        <w:rPr>
          <w:rFonts w:ascii="Calibri" w:eastAsia="Calibri" w:hAnsi="Calibri" w:cs="Times New Roman"/>
        </w:rPr>
        <w:t>ci-après collectivement dénommées « les Parties »,</w:t>
      </w:r>
    </w:p>
    <w:p w:rsidR="00230696" w:rsidRPr="003C17A7" w:rsidRDefault="00230696" w:rsidP="00230696">
      <w:pPr>
        <w:spacing w:after="0" w:line="240" w:lineRule="auto"/>
        <w:contextualSpacing/>
        <w:rPr>
          <w:rFonts w:ascii="Calibri" w:eastAsia="Calibri" w:hAnsi="Calibri" w:cs="Times New Roman"/>
        </w:rPr>
      </w:pPr>
    </w:p>
    <w:p w:rsidR="00230696" w:rsidRPr="003C17A7" w:rsidRDefault="00230696" w:rsidP="00230696">
      <w:pPr>
        <w:spacing w:after="0" w:line="240" w:lineRule="auto"/>
        <w:contextualSpacing/>
        <w:rPr>
          <w:rFonts w:ascii="Calibri" w:eastAsia="Calibri" w:hAnsi="Calibri" w:cs="Times New Roman"/>
        </w:rPr>
      </w:pPr>
    </w:p>
    <w:p w:rsidR="00230696" w:rsidRPr="003C17A7" w:rsidRDefault="00230696" w:rsidP="00230696">
      <w:pPr>
        <w:spacing w:after="0" w:line="240" w:lineRule="auto"/>
        <w:contextualSpacing/>
        <w:rPr>
          <w:rFonts w:ascii="Calibri" w:eastAsia="Calibri" w:hAnsi="Calibri" w:cs="Times New Roman"/>
        </w:rPr>
      </w:pPr>
      <w:r w:rsidRPr="003C17A7">
        <w:rPr>
          <w:rFonts w:ascii="Calibri" w:eastAsia="Calibri" w:hAnsi="Calibri" w:cs="Times New Roman"/>
        </w:rPr>
        <w:t>Il est convenu ce qui suit :</w:t>
      </w:r>
    </w:p>
    <w:p w:rsidR="00230696" w:rsidRPr="003C17A7" w:rsidRDefault="00230696" w:rsidP="0082399E">
      <w:pPr>
        <w:spacing w:after="0" w:line="240" w:lineRule="auto"/>
        <w:rPr>
          <w:rFonts w:ascii="Calibri" w:eastAsia="Calibri" w:hAnsi="Calibri" w:cs="Times New Roman"/>
          <w:b/>
        </w:rPr>
      </w:pPr>
      <w:r w:rsidRPr="003C17A7">
        <w:rPr>
          <w:rFonts w:ascii="Calibri" w:eastAsia="Calibri" w:hAnsi="Calibri" w:cs="Times New Roman"/>
        </w:rPr>
        <w:br w:type="page"/>
      </w:r>
      <w:r w:rsidRPr="003C17A7">
        <w:rPr>
          <w:rFonts w:ascii="Calibri" w:eastAsia="Calibri" w:hAnsi="Calibri" w:cs="Times New Roman"/>
          <w:b/>
        </w:rPr>
        <w:lastRenderedPageBreak/>
        <w:t>PREAMBULE</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Les Parties se sont réunies en vue de mettre en conformité le régime de remboursement des frais médicaux en vigueur depuis le 2 octobre 2006 au sein de l’UES Capgemini avec le nouveau cadre règlementaire et conventionnel (Cf. décret n°2014-1374 du 18 novembre 2014 relatif aux « contrats responsables » et accord de branche du 7 octobre 2015). En outre, le déficit structurel du régime a conduit les Parties à adopter des mesures visant  à atteindre l’équilibre des résultats et à maintenir ce dernier dans le temps.</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b/>
        </w:rPr>
      </w:pPr>
    </w:p>
    <w:p w:rsidR="00230696" w:rsidRPr="003C17A7" w:rsidRDefault="00230696" w:rsidP="00230696">
      <w:pPr>
        <w:spacing w:after="0" w:line="240" w:lineRule="auto"/>
        <w:contextualSpacing/>
        <w:jc w:val="both"/>
        <w:rPr>
          <w:rFonts w:ascii="Calibri" w:eastAsia="Calibri" w:hAnsi="Calibri" w:cs="Times New Roman"/>
          <w:b/>
          <w:u w:val="single"/>
        </w:rPr>
      </w:pPr>
      <w:r w:rsidRPr="003C17A7">
        <w:rPr>
          <w:rFonts w:ascii="Calibri" w:eastAsia="Calibri" w:hAnsi="Calibri" w:cs="Times New Roman"/>
          <w:b/>
          <w:u w:val="single"/>
        </w:rPr>
        <w:t>ARTICLE 1</w:t>
      </w:r>
      <w:r w:rsidRPr="003C17A7">
        <w:rPr>
          <w:rFonts w:ascii="Calibri" w:eastAsia="Calibri" w:hAnsi="Calibri" w:cs="Times New Roman"/>
          <w:b/>
        </w:rPr>
        <w:tab/>
      </w:r>
      <w:r w:rsidRPr="003C17A7">
        <w:rPr>
          <w:rFonts w:ascii="Calibri" w:eastAsia="Calibri" w:hAnsi="Calibri" w:cs="Times New Roman"/>
          <w:b/>
          <w:u w:val="single"/>
        </w:rPr>
        <w:t>BENEFICIAIRES DU REGIME</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Le présent article modifie l’article 2.2 (« Bénéficiaires ») de l’accord susmentionné du 2 octobre 2006. Celui-ci est désormais rédigé de la manière suivante :</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F44EE1" w:rsidP="00230696">
      <w:pPr>
        <w:spacing w:after="0" w:line="240" w:lineRule="auto"/>
        <w:contextualSpacing/>
        <w:jc w:val="both"/>
        <w:rPr>
          <w:rFonts w:ascii="Calibri" w:eastAsia="Calibri" w:hAnsi="Calibri" w:cs="Times New Roman"/>
          <w:i/>
        </w:rPr>
      </w:pPr>
      <w:r w:rsidRPr="003C17A7">
        <w:rPr>
          <w:rFonts w:ascii="Calibri" w:eastAsia="Calibri" w:hAnsi="Calibri" w:cs="Times New Roman"/>
          <w:i/>
        </w:rPr>
        <w:t>« </w:t>
      </w:r>
      <w:r w:rsidR="00230696" w:rsidRPr="003C17A7">
        <w:rPr>
          <w:rFonts w:ascii="Calibri" w:eastAsia="Calibri" w:hAnsi="Calibri" w:cs="Times New Roman"/>
          <w:i/>
        </w:rPr>
        <w:t>2.2.1</w:t>
      </w:r>
      <w:r w:rsidR="00230696" w:rsidRPr="003C17A7">
        <w:rPr>
          <w:rFonts w:ascii="Calibri" w:eastAsia="Calibri" w:hAnsi="Calibri" w:cs="Times New Roman"/>
          <w:i/>
        </w:rPr>
        <w:tab/>
      </w:r>
      <w:r w:rsidR="00230696" w:rsidRPr="003C17A7">
        <w:rPr>
          <w:rFonts w:ascii="Calibri" w:eastAsia="Calibri" w:hAnsi="Calibri" w:cs="Times New Roman"/>
          <w:i/>
          <w:u w:val="single"/>
        </w:rPr>
        <w:t>Bénéficiaires de plein droit</w:t>
      </w:r>
    </w:p>
    <w:p w:rsidR="00501AC5" w:rsidRPr="003C17A7" w:rsidRDefault="00501AC5" w:rsidP="00230696">
      <w:pPr>
        <w:spacing w:after="0" w:line="240" w:lineRule="auto"/>
        <w:contextualSpacing/>
        <w:jc w:val="both"/>
        <w:rPr>
          <w:rFonts w:ascii="Calibri" w:eastAsia="Calibri" w:hAnsi="Calibri" w:cs="Times New Roman"/>
          <w:i/>
        </w:rPr>
      </w:pPr>
    </w:p>
    <w:p w:rsidR="00230696" w:rsidRPr="003C17A7" w:rsidRDefault="00230696" w:rsidP="00230696">
      <w:pPr>
        <w:spacing w:after="0" w:line="240" w:lineRule="auto"/>
        <w:contextualSpacing/>
        <w:jc w:val="both"/>
        <w:rPr>
          <w:rFonts w:ascii="Calibri" w:eastAsia="Calibri" w:hAnsi="Calibri" w:cs="Times New Roman"/>
          <w:i/>
        </w:rPr>
      </w:pPr>
      <w:r w:rsidRPr="003C17A7">
        <w:rPr>
          <w:rFonts w:ascii="Calibri" w:eastAsia="Calibri" w:hAnsi="Calibri" w:cs="Times New Roman"/>
          <w:i/>
        </w:rPr>
        <w:t>Les bénéficiaires des garanties jointes en annexe au présent accord sont :</w:t>
      </w:r>
    </w:p>
    <w:p w:rsidR="00230696" w:rsidRPr="003C17A7" w:rsidRDefault="00230696" w:rsidP="00230696">
      <w:pPr>
        <w:numPr>
          <w:ilvl w:val="0"/>
          <w:numId w:val="1"/>
        </w:numPr>
        <w:spacing w:after="0" w:line="240" w:lineRule="auto"/>
        <w:contextualSpacing/>
        <w:jc w:val="both"/>
        <w:rPr>
          <w:rFonts w:ascii="Calibri" w:eastAsia="Calibri" w:hAnsi="Calibri" w:cs="Times New Roman"/>
          <w:i/>
        </w:rPr>
      </w:pPr>
      <w:r w:rsidRPr="003C17A7">
        <w:rPr>
          <w:rFonts w:ascii="Calibri" w:eastAsia="Calibri" w:hAnsi="Calibri" w:cs="Times New Roman"/>
          <w:i/>
        </w:rPr>
        <w:t>Le salarié visé au paragraphe 2.1 de l’accord initial ;</w:t>
      </w:r>
    </w:p>
    <w:p w:rsidR="00230696" w:rsidRPr="003C17A7" w:rsidRDefault="00230696" w:rsidP="00230696">
      <w:pPr>
        <w:numPr>
          <w:ilvl w:val="0"/>
          <w:numId w:val="1"/>
        </w:numPr>
        <w:spacing w:after="0" w:line="240" w:lineRule="auto"/>
        <w:contextualSpacing/>
        <w:jc w:val="both"/>
        <w:rPr>
          <w:rFonts w:ascii="Calibri" w:eastAsia="Calibri" w:hAnsi="Calibri" w:cs="Times New Roman"/>
          <w:i/>
        </w:rPr>
      </w:pPr>
      <w:r w:rsidRPr="003C17A7">
        <w:rPr>
          <w:rFonts w:ascii="Calibri" w:eastAsia="Calibri" w:hAnsi="Calibri" w:cs="Times New Roman"/>
          <w:i/>
        </w:rPr>
        <w:t>Ses ayants droit  tels que définis ci-dessous :</w:t>
      </w:r>
    </w:p>
    <w:p w:rsidR="00230696" w:rsidRPr="003C17A7" w:rsidRDefault="00230696" w:rsidP="00230696">
      <w:pPr>
        <w:spacing w:after="0" w:line="240" w:lineRule="auto"/>
        <w:ind w:left="1418" w:hanging="709"/>
        <w:contextualSpacing/>
        <w:jc w:val="both"/>
        <w:rPr>
          <w:rFonts w:ascii="Calibri" w:eastAsia="Calibri" w:hAnsi="Calibri" w:cs="Times New Roman"/>
          <w:i/>
        </w:rPr>
      </w:pPr>
      <w:r w:rsidRPr="003C17A7">
        <w:rPr>
          <w:rFonts w:ascii="Calibri" w:eastAsia="Calibri" w:hAnsi="Calibri" w:cs="Times New Roman"/>
          <w:i/>
        </w:rPr>
        <w:t>.</w:t>
      </w:r>
      <w:r w:rsidRPr="003C17A7">
        <w:rPr>
          <w:rFonts w:ascii="Calibri" w:eastAsia="Calibri" w:hAnsi="Calibri" w:cs="Times New Roman"/>
          <w:i/>
        </w:rPr>
        <w:tab/>
        <w:t>le conjoint non divorcé ni séparé judiciairement, bénéficiant d’un régime de Sécurité sociale, n’exerçant pas d’activité professionnelle et ne percevant aucun revenu propre (*) tel que défini dans le cadre de l’imposition sur le revenu ;</w:t>
      </w:r>
    </w:p>
    <w:p w:rsidR="00230696" w:rsidRPr="003C17A7" w:rsidRDefault="00230696" w:rsidP="00230696">
      <w:pPr>
        <w:spacing w:after="0" w:line="240" w:lineRule="auto"/>
        <w:ind w:left="1418" w:hanging="709"/>
        <w:contextualSpacing/>
        <w:jc w:val="both"/>
        <w:rPr>
          <w:rFonts w:ascii="Calibri" w:eastAsia="Calibri" w:hAnsi="Calibri" w:cs="Times New Roman"/>
          <w:i/>
        </w:rPr>
      </w:pPr>
      <w:r w:rsidRPr="003C17A7">
        <w:rPr>
          <w:rFonts w:ascii="Calibri" w:eastAsia="Calibri" w:hAnsi="Calibri" w:cs="Times New Roman"/>
          <w:i/>
        </w:rPr>
        <w:t>.</w:t>
      </w:r>
      <w:r w:rsidRPr="003C17A7">
        <w:rPr>
          <w:rFonts w:ascii="Calibri" w:eastAsia="Calibri" w:hAnsi="Calibri" w:cs="Times New Roman"/>
          <w:i/>
        </w:rPr>
        <w:tab/>
        <w:t xml:space="preserve">en l’absence de conjoint, le partenaire lié au participant par un Pacte Civil de Solidarité (« PACS ») bénéficiant d’un régime de Sécurité sociale, ne percevant aucun revenu propre (*) tel que défini dans le cadre de l’imposition sur le revenu, sous réserve de la fourniture d’une copie dudit Pacte ; </w:t>
      </w:r>
    </w:p>
    <w:p w:rsidR="00230696" w:rsidRPr="003C17A7" w:rsidRDefault="00230696" w:rsidP="00230696">
      <w:pPr>
        <w:spacing w:after="0" w:line="240" w:lineRule="auto"/>
        <w:ind w:left="1418" w:hanging="709"/>
        <w:contextualSpacing/>
        <w:jc w:val="both"/>
        <w:rPr>
          <w:rFonts w:ascii="Calibri" w:eastAsia="Calibri" w:hAnsi="Calibri" w:cs="Times New Roman"/>
          <w:i/>
        </w:rPr>
      </w:pPr>
      <w:r w:rsidRPr="003C17A7">
        <w:rPr>
          <w:rFonts w:ascii="Calibri" w:eastAsia="Calibri" w:hAnsi="Calibri" w:cs="Times New Roman"/>
          <w:i/>
        </w:rPr>
        <w:t>.</w:t>
      </w:r>
      <w:r w:rsidRPr="003C17A7">
        <w:rPr>
          <w:rFonts w:ascii="Calibri" w:eastAsia="Calibri" w:hAnsi="Calibri" w:cs="Times New Roman"/>
          <w:i/>
        </w:rPr>
        <w:tab/>
        <w:t xml:space="preserve">en l’absence de conjoint ou partenaire, le concubin ne percevant aucun revenu propre (*) tel que défini dans le cadre de l’imposition sur le revenu, sous réserve de la fourniture d’un justificatif de domicile commun ;  </w:t>
      </w:r>
    </w:p>
    <w:p w:rsidR="00230696" w:rsidRPr="003C17A7" w:rsidRDefault="00230696" w:rsidP="00230696">
      <w:pPr>
        <w:numPr>
          <w:ilvl w:val="0"/>
          <w:numId w:val="1"/>
        </w:numPr>
        <w:spacing w:after="0" w:line="240" w:lineRule="auto"/>
        <w:contextualSpacing/>
        <w:jc w:val="both"/>
        <w:rPr>
          <w:rFonts w:ascii="Calibri" w:eastAsia="Calibri" w:hAnsi="Calibri" w:cs="Times New Roman"/>
          <w:i/>
        </w:rPr>
      </w:pPr>
      <w:r w:rsidRPr="003C17A7">
        <w:rPr>
          <w:rFonts w:ascii="Calibri" w:eastAsia="Calibri" w:hAnsi="Calibri" w:cs="Times New Roman"/>
          <w:i/>
        </w:rPr>
        <w:t>Ses enfants</w:t>
      </w:r>
      <w:r w:rsidR="005F59B8" w:rsidRPr="003C17A7">
        <w:rPr>
          <w:rFonts w:ascii="Calibri" w:eastAsia="Calibri" w:hAnsi="Calibri" w:cs="Times New Roman"/>
          <w:i/>
        </w:rPr>
        <w:t xml:space="preserve"> (et ceux de son conjoint</w:t>
      </w:r>
      <w:r w:rsidR="00501AC5" w:rsidRPr="003C17A7">
        <w:rPr>
          <w:rFonts w:ascii="Calibri" w:eastAsia="Calibri" w:hAnsi="Calibri" w:cs="Times New Roman"/>
          <w:i/>
        </w:rPr>
        <w:t>, de son partenaire, de son</w:t>
      </w:r>
      <w:r w:rsidR="005F59B8" w:rsidRPr="003C17A7">
        <w:rPr>
          <w:rFonts w:ascii="Calibri" w:eastAsia="Calibri" w:hAnsi="Calibri" w:cs="Times New Roman"/>
          <w:i/>
        </w:rPr>
        <w:t xml:space="preserve"> concubin</w:t>
      </w:r>
      <w:r w:rsidR="00501AC5" w:rsidRPr="003C17A7">
        <w:rPr>
          <w:i/>
        </w:rPr>
        <w:t xml:space="preserve"> ou de ses ex conjoints au profit desquels des pensions alimentaires lui ont été imposées notamment par décision de justice</w:t>
      </w:r>
      <w:r w:rsidR="005F59B8" w:rsidRPr="003C17A7">
        <w:rPr>
          <w:rFonts w:ascii="Calibri" w:eastAsia="Calibri" w:hAnsi="Calibri" w:cs="Times New Roman"/>
          <w:i/>
        </w:rPr>
        <w:t xml:space="preserve">) </w:t>
      </w:r>
      <w:r w:rsidRPr="003C17A7">
        <w:rPr>
          <w:rFonts w:ascii="Calibri" w:eastAsia="Calibri" w:hAnsi="Calibri" w:cs="Times New Roman"/>
          <w:i/>
        </w:rPr>
        <w:t>:</w:t>
      </w:r>
    </w:p>
    <w:p w:rsidR="00230696" w:rsidRPr="003C17A7" w:rsidRDefault="00230696" w:rsidP="00230696">
      <w:pPr>
        <w:spacing w:after="0" w:line="240" w:lineRule="auto"/>
        <w:ind w:left="1418" w:hanging="709"/>
        <w:jc w:val="both"/>
        <w:rPr>
          <w:rFonts w:ascii="Calibri" w:eastAsia="Calibri" w:hAnsi="Calibri" w:cs="Times New Roman"/>
          <w:i/>
        </w:rPr>
      </w:pPr>
      <w:r w:rsidRPr="003C17A7">
        <w:rPr>
          <w:rFonts w:ascii="Calibri" w:eastAsia="Calibri" w:hAnsi="Calibri" w:cs="Times New Roman"/>
          <w:i/>
        </w:rPr>
        <w:t>.</w:t>
      </w:r>
      <w:r w:rsidRPr="003C17A7">
        <w:rPr>
          <w:rFonts w:ascii="Calibri" w:eastAsia="Calibri" w:hAnsi="Calibri" w:cs="Times New Roman"/>
          <w:i/>
        </w:rPr>
        <w:tab/>
        <w:t>à charge au sens de la législation fiscale ou au sens de la législation sur les allocations familiales,</w:t>
      </w:r>
    </w:p>
    <w:p w:rsidR="00230696" w:rsidRPr="003C17A7" w:rsidRDefault="00230696" w:rsidP="00230696">
      <w:pPr>
        <w:spacing w:after="0" w:line="240" w:lineRule="auto"/>
        <w:ind w:left="720"/>
        <w:contextualSpacing/>
        <w:jc w:val="both"/>
        <w:rPr>
          <w:rFonts w:ascii="Calibri" w:eastAsia="Calibri" w:hAnsi="Calibri" w:cs="Times New Roman"/>
          <w:i/>
        </w:rPr>
      </w:pPr>
      <w:r w:rsidRPr="003C17A7">
        <w:rPr>
          <w:rFonts w:ascii="Calibri" w:eastAsia="Calibri" w:hAnsi="Calibri" w:cs="Times New Roman"/>
          <w:i/>
        </w:rPr>
        <w:t>.</w:t>
      </w:r>
      <w:r w:rsidRPr="003C17A7">
        <w:rPr>
          <w:rFonts w:ascii="Calibri" w:eastAsia="Calibri" w:hAnsi="Calibri" w:cs="Times New Roman"/>
          <w:i/>
        </w:rPr>
        <w:tab/>
        <w:t>à charge au sens de la Sécurité Sociale et âgés de moins de 18 ans,</w:t>
      </w:r>
    </w:p>
    <w:p w:rsidR="00230696" w:rsidRPr="003C17A7" w:rsidRDefault="00230696" w:rsidP="00230696">
      <w:pPr>
        <w:spacing w:after="0" w:line="240" w:lineRule="auto"/>
        <w:ind w:left="720"/>
        <w:contextualSpacing/>
        <w:jc w:val="both"/>
        <w:rPr>
          <w:rFonts w:ascii="Calibri" w:eastAsia="Calibri" w:hAnsi="Calibri" w:cs="Times New Roman"/>
          <w:i/>
        </w:rPr>
      </w:pPr>
      <w:r w:rsidRPr="003C17A7">
        <w:rPr>
          <w:rFonts w:ascii="Calibri" w:eastAsia="Calibri" w:hAnsi="Calibri" w:cs="Times New Roman"/>
          <w:i/>
        </w:rPr>
        <w:t>.</w:t>
      </w:r>
      <w:r w:rsidRPr="003C17A7">
        <w:rPr>
          <w:rFonts w:ascii="Calibri" w:eastAsia="Calibri" w:hAnsi="Calibri" w:cs="Times New Roman"/>
          <w:i/>
        </w:rPr>
        <w:tab/>
        <w:t>âgés de moins de 28 ans et affiliés au régime de la Sécurité Sociale des étudiants,</w:t>
      </w:r>
    </w:p>
    <w:p w:rsidR="00230696" w:rsidRPr="003C17A7" w:rsidRDefault="00230696" w:rsidP="00230696">
      <w:pPr>
        <w:spacing w:after="0" w:line="240" w:lineRule="auto"/>
        <w:ind w:left="1418" w:hanging="698"/>
        <w:contextualSpacing/>
        <w:jc w:val="both"/>
        <w:rPr>
          <w:rFonts w:ascii="Calibri" w:eastAsia="Calibri" w:hAnsi="Calibri" w:cs="Times New Roman"/>
          <w:i/>
        </w:rPr>
      </w:pPr>
      <w:r w:rsidRPr="003C17A7">
        <w:rPr>
          <w:rFonts w:ascii="Calibri" w:eastAsia="Calibri" w:hAnsi="Calibri" w:cs="Times New Roman"/>
          <w:i/>
        </w:rPr>
        <w:t>.</w:t>
      </w:r>
      <w:r w:rsidRPr="003C17A7">
        <w:rPr>
          <w:rFonts w:ascii="Calibri" w:eastAsia="Calibri" w:hAnsi="Calibri" w:cs="Times New Roman"/>
          <w:i/>
        </w:rPr>
        <w:tab/>
        <w:t>âgés de moins de 28 ans poursuivant des études secondaires ou supérieures,</w:t>
      </w:r>
      <w:r w:rsidRPr="003C17A7">
        <w:rPr>
          <w:rFonts w:ascii="Calibri" w:eastAsia="Calibri" w:hAnsi="Calibri" w:cs="Times New Roman"/>
        </w:rPr>
        <w:t xml:space="preserve"> </w:t>
      </w:r>
      <w:r w:rsidRPr="003C17A7">
        <w:rPr>
          <w:rFonts w:ascii="Calibri" w:eastAsia="Calibri" w:hAnsi="Calibri" w:cs="Times New Roman"/>
          <w:i/>
        </w:rPr>
        <w:t>ou une formation en alternance,</w:t>
      </w:r>
    </w:p>
    <w:p w:rsidR="00C957FE" w:rsidRPr="003C17A7" w:rsidRDefault="00230696" w:rsidP="00230696">
      <w:pPr>
        <w:spacing w:after="0" w:line="240" w:lineRule="auto"/>
        <w:ind w:left="1418" w:hanging="698"/>
        <w:contextualSpacing/>
        <w:jc w:val="both"/>
        <w:rPr>
          <w:rFonts w:ascii="Calibri" w:eastAsia="Calibri" w:hAnsi="Calibri" w:cs="Times New Roman"/>
          <w:i/>
        </w:rPr>
      </w:pPr>
      <w:r w:rsidRPr="003C17A7">
        <w:rPr>
          <w:rFonts w:ascii="Calibri" w:eastAsia="Calibri" w:hAnsi="Calibri" w:cs="Times New Roman"/>
          <w:i/>
        </w:rPr>
        <w:t>.</w:t>
      </w:r>
      <w:r w:rsidRPr="003C17A7">
        <w:rPr>
          <w:rFonts w:ascii="Calibri" w:eastAsia="Calibri" w:hAnsi="Calibri" w:cs="Times New Roman"/>
          <w:i/>
        </w:rPr>
        <w:tab/>
        <w:t xml:space="preserve">âgés de moins de 28 ans et étant à la recherche d’un premier emploi, inscrits à l'Assurance Chômage et ayant terminé leurs études depuis moins de 6 mois (les enfants ayant suivi une formation en alternance et connaissant une période de chômage à l’issue de leur formation sont considérés comme primo-demandeurs d’emploi), </w:t>
      </w:r>
    </w:p>
    <w:p w:rsidR="00230696" w:rsidRPr="003C17A7" w:rsidRDefault="00C957FE" w:rsidP="00230696">
      <w:pPr>
        <w:spacing w:after="0" w:line="240" w:lineRule="auto"/>
        <w:ind w:left="1418" w:hanging="698"/>
        <w:contextualSpacing/>
        <w:jc w:val="both"/>
        <w:rPr>
          <w:rFonts w:ascii="Calibri" w:eastAsia="Calibri" w:hAnsi="Calibri" w:cs="Times New Roman"/>
          <w:i/>
        </w:rPr>
      </w:pPr>
      <w:r w:rsidRPr="003C17A7">
        <w:rPr>
          <w:rFonts w:ascii="Calibri" w:eastAsia="Calibri" w:hAnsi="Calibri" w:cs="Times New Roman"/>
          <w:i/>
        </w:rPr>
        <w:t>.</w:t>
      </w:r>
      <w:r w:rsidRPr="003C17A7">
        <w:rPr>
          <w:rFonts w:ascii="Calibri" w:eastAsia="Calibri" w:hAnsi="Calibri" w:cs="Times New Roman"/>
          <w:i/>
        </w:rPr>
        <w:tab/>
      </w:r>
      <w:r w:rsidR="00230696" w:rsidRPr="003C17A7">
        <w:rPr>
          <w:rFonts w:ascii="Calibri" w:eastAsia="Calibri" w:hAnsi="Calibri" w:cs="Times New Roman"/>
          <w:i/>
        </w:rPr>
        <w:t>quel que soit leur âge, s’ils perçoivent une des allocations pour adultes handicapés (loi du 30 Juin 1975), sous réserve que cette allocation leur ait été attribuée avant leur 21ème anniversaire ;</w:t>
      </w:r>
    </w:p>
    <w:p w:rsidR="00230696" w:rsidRPr="003C17A7" w:rsidRDefault="00230696" w:rsidP="00230696">
      <w:pPr>
        <w:numPr>
          <w:ilvl w:val="0"/>
          <w:numId w:val="1"/>
        </w:numPr>
        <w:spacing w:after="0" w:line="240" w:lineRule="auto"/>
        <w:contextualSpacing/>
        <w:jc w:val="both"/>
        <w:rPr>
          <w:rFonts w:ascii="Calibri" w:eastAsia="Calibri" w:hAnsi="Calibri" w:cs="Times New Roman"/>
          <w:i/>
        </w:rPr>
      </w:pPr>
      <w:r w:rsidRPr="003C17A7">
        <w:rPr>
          <w:rFonts w:ascii="Calibri" w:eastAsia="Calibri" w:hAnsi="Calibri" w:cs="Times New Roman"/>
          <w:i/>
        </w:rPr>
        <w:t>Ses ascendants (et ceux de son conjoint, de son partenaire ou concubin) bénéficiant de la Sécurité sociale sous son numéro d’immatriculation ou bénéficiant de leur propre numéro d’immatriculation, dès lors que ces derniers justifient vivre au domicile du participant, n’exercer aucune activité professionnelle et ne percevoir aucun revenu propre (*</w:t>
      </w:r>
      <w:r w:rsidR="00C957FE" w:rsidRPr="003C17A7">
        <w:rPr>
          <w:rFonts w:ascii="Calibri" w:eastAsia="Calibri" w:hAnsi="Calibri" w:cs="Times New Roman"/>
          <w:i/>
        </w:rPr>
        <w:t>*</w:t>
      </w:r>
      <w:r w:rsidRPr="003C17A7">
        <w:rPr>
          <w:rFonts w:ascii="Calibri" w:eastAsia="Calibri" w:hAnsi="Calibri" w:cs="Times New Roman"/>
          <w:i/>
        </w:rPr>
        <w:t>) tel que défini dans le cadre de l’imposition sur le revenu.</w:t>
      </w:r>
    </w:p>
    <w:p w:rsidR="00230696" w:rsidRPr="003C17A7" w:rsidRDefault="00230696" w:rsidP="00230696">
      <w:pPr>
        <w:spacing w:after="0" w:line="240" w:lineRule="auto"/>
        <w:jc w:val="both"/>
        <w:rPr>
          <w:rFonts w:ascii="Calibri" w:eastAsia="Calibri" w:hAnsi="Calibri" w:cs="Times New Roman"/>
          <w:i/>
        </w:rPr>
      </w:pPr>
    </w:p>
    <w:p w:rsidR="00230696" w:rsidRPr="003C17A7" w:rsidRDefault="00230696" w:rsidP="00230696">
      <w:pPr>
        <w:spacing w:after="0" w:line="240" w:lineRule="auto"/>
        <w:jc w:val="both"/>
        <w:rPr>
          <w:rFonts w:ascii="Calibri" w:eastAsia="Calibri" w:hAnsi="Calibri" w:cs="Times New Roman"/>
          <w:i/>
        </w:rPr>
      </w:pPr>
      <w:r w:rsidRPr="003C17A7">
        <w:rPr>
          <w:rFonts w:ascii="Calibri" w:eastAsia="Calibri" w:hAnsi="Calibri" w:cs="Times New Roman"/>
          <w:i/>
        </w:rPr>
        <w:lastRenderedPageBreak/>
        <w:t xml:space="preserve">(*) Par revenu propre, on entend : </w:t>
      </w:r>
      <w:r w:rsidR="00C957FE" w:rsidRPr="003C17A7">
        <w:rPr>
          <w:rFonts w:ascii="Calibri" w:eastAsia="Calibri" w:hAnsi="Calibri" w:cs="Times New Roman"/>
          <w:i/>
        </w:rPr>
        <w:t>traitement</w:t>
      </w:r>
      <w:r w:rsidR="008801DB" w:rsidRPr="003C17A7">
        <w:rPr>
          <w:rFonts w:ascii="Calibri" w:eastAsia="Calibri" w:hAnsi="Calibri" w:cs="Times New Roman"/>
          <w:i/>
        </w:rPr>
        <w:t>/salaire, BIC (Bénéfic</w:t>
      </w:r>
      <w:r w:rsidR="00C957FE" w:rsidRPr="003C17A7">
        <w:rPr>
          <w:rFonts w:ascii="Calibri" w:eastAsia="Calibri" w:hAnsi="Calibri" w:cs="Times New Roman"/>
          <w:i/>
        </w:rPr>
        <w:t>es Industrie</w:t>
      </w:r>
      <w:r w:rsidR="008801DB" w:rsidRPr="003C17A7">
        <w:rPr>
          <w:rFonts w:ascii="Calibri" w:eastAsia="Calibri" w:hAnsi="Calibri" w:cs="Times New Roman"/>
          <w:i/>
        </w:rPr>
        <w:t>ls et Commerciaux), BA (Bénéfic</w:t>
      </w:r>
      <w:r w:rsidR="00C957FE" w:rsidRPr="003C17A7">
        <w:rPr>
          <w:rFonts w:ascii="Calibri" w:eastAsia="Calibri" w:hAnsi="Calibri" w:cs="Times New Roman"/>
          <w:i/>
        </w:rPr>
        <w:t>es Agricoles), B</w:t>
      </w:r>
      <w:r w:rsidR="008801DB" w:rsidRPr="003C17A7">
        <w:rPr>
          <w:rFonts w:ascii="Calibri" w:eastAsia="Calibri" w:hAnsi="Calibri" w:cs="Times New Roman"/>
          <w:i/>
        </w:rPr>
        <w:t>NC (Bénéfic</w:t>
      </w:r>
      <w:r w:rsidR="004C1931" w:rsidRPr="003C17A7">
        <w:rPr>
          <w:rFonts w:ascii="Calibri" w:eastAsia="Calibri" w:hAnsi="Calibri" w:cs="Times New Roman"/>
          <w:i/>
        </w:rPr>
        <w:t>es Non Commerciaux).</w:t>
      </w:r>
    </w:p>
    <w:p w:rsidR="00230696" w:rsidRPr="003C17A7" w:rsidRDefault="00230696" w:rsidP="00230696">
      <w:pPr>
        <w:spacing w:after="0" w:line="240" w:lineRule="auto"/>
        <w:jc w:val="both"/>
        <w:rPr>
          <w:rFonts w:ascii="Calibri" w:eastAsia="Calibri" w:hAnsi="Calibri" w:cs="Times New Roman"/>
          <w:i/>
        </w:rPr>
      </w:pPr>
    </w:p>
    <w:p w:rsidR="00C957FE" w:rsidRPr="003C17A7" w:rsidRDefault="00C957FE" w:rsidP="00230696">
      <w:pPr>
        <w:spacing w:after="0" w:line="240" w:lineRule="auto"/>
        <w:jc w:val="both"/>
        <w:rPr>
          <w:rFonts w:ascii="Calibri" w:eastAsia="Calibri" w:hAnsi="Calibri" w:cs="Times New Roman"/>
          <w:i/>
        </w:rPr>
      </w:pPr>
      <w:r w:rsidRPr="003C17A7">
        <w:rPr>
          <w:rFonts w:ascii="Calibri" w:eastAsia="Calibri" w:hAnsi="Calibri" w:cs="Times New Roman"/>
          <w:i/>
        </w:rPr>
        <w:t>(**) Par revenu propre, on entend : traitement</w:t>
      </w:r>
      <w:r w:rsidR="008801DB" w:rsidRPr="003C17A7">
        <w:rPr>
          <w:rFonts w:ascii="Calibri" w:eastAsia="Calibri" w:hAnsi="Calibri" w:cs="Times New Roman"/>
          <w:i/>
        </w:rPr>
        <w:t>/salaire, BIC (Bénéfic</w:t>
      </w:r>
      <w:r w:rsidRPr="003C17A7">
        <w:rPr>
          <w:rFonts w:ascii="Calibri" w:eastAsia="Calibri" w:hAnsi="Calibri" w:cs="Times New Roman"/>
          <w:i/>
        </w:rPr>
        <w:t>es Industriels et Commerciaux), BA (Béné</w:t>
      </w:r>
      <w:r w:rsidR="008801DB" w:rsidRPr="003C17A7">
        <w:rPr>
          <w:rFonts w:ascii="Calibri" w:eastAsia="Calibri" w:hAnsi="Calibri" w:cs="Times New Roman"/>
          <w:i/>
        </w:rPr>
        <w:t>fices Agricoles), BNC (Bénéfic</w:t>
      </w:r>
      <w:r w:rsidRPr="003C17A7">
        <w:rPr>
          <w:rFonts w:ascii="Calibri" w:eastAsia="Calibri" w:hAnsi="Calibri" w:cs="Times New Roman"/>
          <w:i/>
        </w:rPr>
        <w:t>es Non Commerciaux), pension/retraite/rente (uniquement pour les ascendants).</w:t>
      </w:r>
    </w:p>
    <w:p w:rsidR="00230696" w:rsidRPr="003C17A7" w:rsidRDefault="00230696" w:rsidP="00230696">
      <w:pPr>
        <w:spacing w:after="0" w:line="240" w:lineRule="auto"/>
        <w:jc w:val="both"/>
        <w:rPr>
          <w:rFonts w:ascii="Calibri" w:eastAsia="Calibri" w:hAnsi="Calibri" w:cs="Times New Roman"/>
          <w:i/>
        </w:rPr>
      </w:pPr>
    </w:p>
    <w:p w:rsidR="00C957FE" w:rsidRPr="003C17A7" w:rsidRDefault="00C957FE" w:rsidP="00230696">
      <w:pPr>
        <w:spacing w:after="0" w:line="240" w:lineRule="auto"/>
        <w:jc w:val="both"/>
        <w:rPr>
          <w:rFonts w:ascii="Calibri" w:eastAsia="Calibri" w:hAnsi="Calibri" w:cs="Times New Roman"/>
          <w:i/>
        </w:rPr>
      </w:pPr>
    </w:p>
    <w:p w:rsidR="00230696" w:rsidRPr="003C17A7" w:rsidRDefault="00230696" w:rsidP="00230696">
      <w:pPr>
        <w:spacing w:after="0" w:line="240" w:lineRule="auto"/>
        <w:jc w:val="both"/>
        <w:rPr>
          <w:rFonts w:ascii="Calibri" w:eastAsia="Calibri" w:hAnsi="Calibri" w:cs="Times New Roman"/>
          <w:i/>
        </w:rPr>
      </w:pPr>
      <w:r w:rsidRPr="003C17A7">
        <w:rPr>
          <w:rFonts w:ascii="Calibri" w:eastAsia="Calibri" w:hAnsi="Calibri" w:cs="Times New Roman"/>
          <w:i/>
        </w:rPr>
        <w:t>2.2.2</w:t>
      </w:r>
      <w:r w:rsidRPr="003C17A7">
        <w:rPr>
          <w:rFonts w:ascii="Calibri" w:eastAsia="Calibri" w:hAnsi="Calibri" w:cs="Times New Roman"/>
          <w:i/>
        </w:rPr>
        <w:tab/>
      </w:r>
      <w:r w:rsidRPr="003C17A7">
        <w:rPr>
          <w:rFonts w:ascii="Calibri" w:eastAsia="Calibri" w:hAnsi="Calibri" w:cs="Times New Roman"/>
          <w:i/>
          <w:u w:val="single"/>
        </w:rPr>
        <w:t>Bénéficiaires optionnels</w:t>
      </w:r>
    </w:p>
    <w:p w:rsidR="00230696" w:rsidRPr="003C17A7" w:rsidRDefault="00230696" w:rsidP="00230696">
      <w:pPr>
        <w:spacing w:after="0" w:line="240" w:lineRule="auto"/>
        <w:jc w:val="both"/>
        <w:rPr>
          <w:rFonts w:ascii="Calibri" w:eastAsia="Calibri" w:hAnsi="Calibri" w:cs="Times New Roman"/>
          <w:i/>
          <w:color w:val="FF0000"/>
        </w:rPr>
      </w:pPr>
    </w:p>
    <w:p w:rsidR="00230696" w:rsidRPr="003C17A7" w:rsidRDefault="00230696" w:rsidP="00230696">
      <w:pPr>
        <w:spacing w:line="256" w:lineRule="auto"/>
        <w:jc w:val="both"/>
        <w:rPr>
          <w:rFonts w:ascii="Calibri" w:eastAsia="Calibri" w:hAnsi="Calibri" w:cs="Times New Roman"/>
          <w:i/>
        </w:rPr>
      </w:pPr>
      <w:r w:rsidRPr="003C17A7">
        <w:rPr>
          <w:rFonts w:ascii="Calibri" w:eastAsia="Calibri" w:hAnsi="Calibri" w:cs="Times New Roman"/>
          <w:i/>
        </w:rPr>
        <w:t>Le conjoint non divorcé ni séparé judiciairement, partenaire lié par un Pacte Civile de Solidarité (« PACS ») ou concubin bénéficiant d’un régime de Sécurité sociale, exerçant une activité professionnelle et/ou percevant des revenus propres tels que définis dans le cadre de l’imposition sur le revenu pourra adhérer au régime obligatoire moyennant une cotisation mensuelle facultative et ce, pour une durée minimale de deux années (hors cas de changement de situation). Celle-ci sera prélevée directement sur le bulletin de paie du salarié et sera exclusivement à sa charge.</w:t>
      </w:r>
    </w:p>
    <w:p w:rsidR="00230696" w:rsidRPr="003C17A7" w:rsidRDefault="00230696" w:rsidP="00230696">
      <w:pPr>
        <w:spacing w:after="0" w:line="240" w:lineRule="auto"/>
        <w:jc w:val="both"/>
        <w:rPr>
          <w:rFonts w:ascii="Calibri" w:eastAsia="Calibri" w:hAnsi="Calibri" w:cs="Times New Roman"/>
          <w:i/>
        </w:rPr>
      </w:pPr>
      <w:r w:rsidRPr="003C17A7">
        <w:rPr>
          <w:rFonts w:ascii="Calibri" w:eastAsia="Calibri" w:hAnsi="Calibri" w:cs="Times New Roman"/>
          <w:i/>
        </w:rPr>
        <w:t>La Direction présentera à la commission de suivi de l’accord les éventuels désaccords sur le statut du conjoint.</w:t>
      </w:r>
    </w:p>
    <w:p w:rsidR="00230696" w:rsidRPr="003C17A7" w:rsidRDefault="00230696" w:rsidP="00230696">
      <w:pPr>
        <w:spacing w:after="0" w:line="240" w:lineRule="auto"/>
        <w:jc w:val="both"/>
        <w:rPr>
          <w:rFonts w:ascii="Calibri" w:eastAsia="Calibri" w:hAnsi="Calibri" w:cs="Times New Roman"/>
          <w:i/>
        </w:rPr>
      </w:pPr>
    </w:p>
    <w:p w:rsidR="00230696" w:rsidRPr="003C17A7" w:rsidRDefault="0070594C" w:rsidP="00230696">
      <w:pPr>
        <w:spacing w:after="0" w:line="240" w:lineRule="auto"/>
        <w:jc w:val="both"/>
        <w:rPr>
          <w:rFonts w:ascii="Calibri" w:eastAsia="Calibri" w:hAnsi="Calibri" w:cs="Times New Roman"/>
          <w:i/>
        </w:rPr>
      </w:pPr>
      <w:r w:rsidRPr="003C17A7">
        <w:rPr>
          <w:rFonts w:ascii="Calibri" w:eastAsia="Calibri" w:hAnsi="Calibri" w:cs="Times New Roman"/>
          <w:i/>
        </w:rPr>
        <w:t xml:space="preserve">La cotisation </w:t>
      </w:r>
      <w:r w:rsidR="00777DDB" w:rsidRPr="003C17A7">
        <w:rPr>
          <w:rFonts w:ascii="Calibri" w:eastAsia="Calibri" w:hAnsi="Calibri" w:cs="Times New Roman"/>
          <w:i/>
        </w:rPr>
        <w:t xml:space="preserve">optionnelle </w:t>
      </w:r>
      <w:r w:rsidR="00230696" w:rsidRPr="003C17A7">
        <w:rPr>
          <w:rFonts w:ascii="Calibri" w:eastAsia="Calibri" w:hAnsi="Calibri" w:cs="Times New Roman"/>
          <w:i/>
        </w:rPr>
        <w:t>pour le conjoint est fixée, à titre purement inf</w:t>
      </w:r>
      <w:r w:rsidR="00501AC5" w:rsidRPr="003C17A7">
        <w:rPr>
          <w:rFonts w:ascii="Calibri" w:eastAsia="Calibri" w:hAnsi="Calibri" w:cs="Times New Roman"/>
          <w:i/>
        </w:rPr>
        <w:t>ormatif et pour l’année 2018 à 12</w:t>
      </w:r>
      <w:r w:rsidR="00230696" w:rsidRPr="003C17A7">
        <w:rPr>
          <w:rFonts w:ascii="Calibri" w:eastAsia="Calibri" w:hAnsi="Calibri" w:cs="Times New Roman"/>
          <w:i/>
        </w:rPr>
        <w:t>€</w:t>
      </w:r>
      <w:r w:rsidRPr="003C17A7">
        <w:rPr>
          <w:rFonts w:ascii="Calibri" w:eastAsia="Calibri" w:hAnsi="Calibri" w:cs="Times New Roman"/>
          <w:i/>
        </w:rPr>
        <w:t xml:space="preserve"> par mois</w:t>
      </w:r>
      <w:r w:rsidR="00230696" w:rsidRPr="003C17A7">
        <w:rPr>
          <w:rFonts w:ascii="Calibri" w:eastAsia="Calibri" w:hAnsi="Calibri" w:cs="Times New Roman"/>
          <w:i/>
        </w:rPr>
        <w:t>.</w:t>
      </w:r>
    </w:p>
    <w:p w:rsidR="00230696" w:rsidRPr="003C17A7" w:rsidRDefault="00230696" w:rsidP="00230696">
      <w:pPr>
        <w:spacing w:after="0" w:line="240" w:lineRule="auto"/>
        <w:jc w:val="both"/>
        <w:rPr>
          <w:rFonts w:ascii="Calibri" w:eastAsia="Calibri" w:hAnsi="Calibri" w:cs="Times New Roman"/>
          <w:i/>
        </w:rPr>
      </w:pPr>
    </w:p>
    <w:p w:rsidR="00230696" w:rsidRPr="003C17A7" w:rsidRDefault="00230696" w:rsidP="00230696">
      <w:pPr>
        <w:spacing w:after="0" w:line="240" w:lineRule="auto"/>
        <w:jc w:val="both"/>
        <w:rPr>
          <w:rFonts w:ascii="Calibri" w:eastAsia="Calibri" w:hAnsi="Calibri" w:cs="Times New Roman"/>
          <w:i/>
        </w:rPr>
      </w:pPr>
      <w:r w:rsidRPr="003C17A7">
        <w:rPr>
          <w:rFonts w:ascii="Calibri" w:eastAsia="Calibri" w:hAnsi="Calibri" w:cs="Times New Roman"/>
          <w:i/>
        </w:rPr>
        <w:t xml:space="preserve">Le montant de cette cotisation </w:t>
      </w:r>
      <w:r w:rsidR="0070594C" w:rsidRPr="003C17A7">
        <w:rPr>
          <w:rFonts w:ascii="Calibri" w:eastAsia="Calibri" w:hAnsi="Calibri" w:cs="Times New Roman"/>
          <w:i/>
        </w:rPr>
        <w:t xml:space="preserve">mensuelle </w:t>
      </w:r>
      <w:r w:rsidRPr="003C17A7">
        <w:rPr>
          <w:rFonts w:ascii="Calibri" w:eastAsia="Calibri" w:hAnsi="Calibri" w:cs="Times New Roman"/>
          <w:i/>
        </w:rPr>
        <w:t xml:space="preserve">est susceptible de révision </w:t>
      </w:r>
      <w:r w:rsidR="00374C2B" w:rsidRPr="003C17A7">
        <w:rPr>
          <w:rFonts w:ascii="Calibri" w:eastAsia="Calibri" w:hAnsi="Calibri" w:cs="Times New Roman"/>
          <w:i/>
        </w:rPr>
        <w:t xml:space="preserve">chaque année, à la hausse comme à la baisse, </w:t>
      </w:r>
      <w:r w:rsidRPr="003C17A7">
        <w:rPr>
          <w:rFonts w:ascii="Calibri" w:eastAsia="Calibri" w:hAnsi="Calibri" w:cs="Times New Roman"/>
          <w:i/>
        </w:rPr>
        <w:t>en fonction des résultats du régime pré</w:t>
      </w:r>
      <w:r w:rsidR="00374C2B" w:rsidRPr="003C17A7">
        <w:rPr>
          <w:rFonts w:ascii="Calibri" w:eastAsia="Calibri" w:hAnsi="Calibri" w:cs="Times New Roman"/>
          <w:i/>
        </w:rPr>
        <w:t>sentés à la commission de suivi. Un avenant sera nécessaire dans l’hypothèse où le montant de cette cotisation mensuelle devrait excéder 14€.</w:t>
      </w:r>
    </w:p>
    <w:p w:rsidR="00230696" w:rsidRPr="003C17A7" w:rsidRDefault="00230696" w:rsidP="00230696">
      <w:pPr>
        <w:spacing w:after="0" w:line="240" w:lineRule="auto"/>
        <w:jc w:val="both"/>
        <w:rPr>
          <w:rFonts w:ascii="Calibri" w:eastAsia="Calibri" w:hAnsi="Calibri" w:cs="Times New Roman"/>
          <w:i/>
        </w:rPr>
      </w:pPr>
    </w:p>
    <w:p w:rsidR="00374C2B" w:rsidRPr="003C17A7" w:rsidRDefault="00374C2B" w:rsidP="00230696">
      <w:pPr>
        <w:spacing w:after="0" w:line="240" w:lineRule="auto"/>
        <w:jc w:val="both"/>
        <w:rPr>
          <w:rFonts w:ascii="Calibri" w:eastAsia="Calibri" w:hAnsi="Calibri" w:cs="Times New Roman"/>
          <w:i/>
        </w:rPr>
      </w:pPr>
    </w:p>
    <w:p w:rsidR="00230696" w:rsidRPr="003C17A7" w:rsidRDefault="00230696" w:rsidP="00230696">
      <w:pPr>
        <w:spacing w:after="0" w:line="240" w:lineRule="auto"/>
        <w:jc w:val="both"/>
        <w:rPr>
          <w:rFonts w:ascii="Calibri" w:eastAsia="Calibri" w:hAnsi="Calibri" w:cs="Times New Roman"/>
          <w:i/>
          <w:u w:val="single"/>
        </w:rPr>
      </w:pPr>
      <w:r w:rsidRPr="003C17A7">
        <w:rPr>
          <w:rFonts w:ascii="Calibri" w:eastAsia="Calibri" w:hAnsi="Calibri" w:cs="Times New Roman"/>
          <w:i/>
        </w:rPr>
        <w:t>2.2.3</w:t>
      </w:r>
      <w:r w:rsidRPr="003C17A7">
        <w:rPr>
          <w:rFonts w:ascii="Calibri" w:eastAsia="Calibri" w:hAnsi="Calibri" w:cs="Times New Roman"/>
          <w:i/>
        </w:rPr>
        <w:tab/>
      </w:r>
      <w:r w:rsidRPr="003C17A7">
        <w:rPr>
          <w:rFonts w:ascii="Calibri" w:eastAsia="Calibri" w:hAnsi="Calibri" w:cs="Times New Roman"/>
          <w:i/>
          <w:u w:val="single"/>
        </w:rPr>
        <w:t>Pour les conjoints bénéficiaires de plein droit et optionnels</w:t>
      </w:r>
    </w:p>
    <w:p w:rsidR="00230696" w:rsidRPr="003C17A7" w:rsidRDefault="00230696" w:rsidP="00230696">
      <w:pPr>
        <w:spacing w:after="0" w:line="240" w:lineRule="auto"/>
        <w:jc w:val="both"/>
        <w:rPr>
          <w:rFonts w:ascii="Calibri" w:eastAsia="Calibri" w:hAnsi="Calibri" w:cs="Times New Roman"/>
          <w:i/>
        </w:rPr>
      </w:pPr>
    </w:p>
    <w:p w:rsidR="00230696" w:rsidRPr="003C17A7" w:rsidRDefault="00230696" w:rsidP="00230696">
      <w:pPr>
        <w:spacing w:after="0" w:line="240" w:lineRule="auto"/>
        <w:jc w:val="both"/>
        <w:rPr>
          <w:rFonts w:ascii="Calibri" w:eastAsia="Calibri" w:hAnsi="Calibri" w:cs="Times New Roman"/>
          <w:i/>
        </w:rPr>
      </w:pPr>
      <w:r w:rsidRPr="003C17A7">
        <w:rPr>
          <w:rFonts w:ascii="Calibri" w:eastAsia="Calibri" w:hAnsi="Calibri" w:cs="Times New Roman"/>
          <w:i/>
        </w:rPr>
        <w:t>Par ailleurs, si le conjoint, la personne liée au salarié par un Pacte Civile de Solidarité (« PACS ») ou le concu</w:t>
      </w:r>
      <w:r w:rsidR="00501AC5" w:rsidRPr="003C17A7">
        <w:rPr>
          <w:rFonts w:ascii="Calibri" w:eastAsia="Calibri" w:hAnsi="Calibri" w:cs="Times New Roman"/>
          <w:i/>
        </w:rPr>
        <w:t xml:space="preserve">bin au sens de l’article 515-8 </w:t>
      </w:r>
      <w:r w:rsidRPr="003C17A7">
        <w:rPr>
          <w:rFonts w:ascii="Calibri" w:eastAsia="Calibri" w:hAnsi="Calibri" w:cs="Times New Roman"/>
          <w:i/>
        </w:rPr>
        <w:t>du Code civil bénéficie d’un régime complémentaire de remboursement de frais médicaux, les garanties mises en vigueur par le présent avenant ne s’appliqueront qu’après l’intervention de la première complémentaire santé. En tout état de cause, le cumul des prestations attribuées par la Sécurité Sociale, par le présent dispositif et par tout autre dispositif, est limité aux frais réellement engagés</w:t>
      </w:r>
      <w:r w:rsidR="00F44EE1" w:rsidRPr="003C17A7">
        <w:rPr>
          <w:rFonts w:ascii="Calibri" w:eastAsia="Calibri" w:hAnsi="Calibri" w:cs="Times New Roman"/>
          <w:i/>
        </w:rPr>
        <w:t> »</w:t>
      </w:r>
      <w:r w:rsidRPr="003C17A7">
        <w:rPr>
          <w:rFonts w:ascii="Calibri" w:eastAsia="Calibri" w:hAnsi="Calibri" w:cs="Times New Roman"/>
          <w:i/>
        </w:rPr>
        <w:t>.</w:t>
      </w:r>
    </w:p>
    <w:p w:rsidR="00230696" w:rsidRPr="003C17A7" w:rsidRDefault="00230696" w:rsidP="00230696">
      <w:pPr>
        <w:spacing w:after="0" w:line="240" w:lineRule="auto"/>
        <w:jc w:val="both"/>
        <w:rPr>
          <w:rFonts w:ascii="Calibri" w:eastAsia="Calibri" w:hAnsi="Calibri" w:cs="Times New Roman"/>
          <w:i/>
        </w:rPr>
      </w:pPr>
    </w:p>
    <w:p w:rsidR="00230696" w:rsidRPr="003C17A7" w:rsidRDefault="00230696" w:rsidP="00230696">
      <w:pPr>
        <w:spacing w:after="0" w:line="240" w:lineRule="auto"/>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b/>
          <w:u w:val="single"/>
        </w:rPr>
      </w:pPr>
      <w:r w:rsidRPr="003C17A7">
        <w:rPr>
          <w:rFonts w:ascii="Calibri" w:eastAsia="Calibri" w:hAnsi="Calibri" w:cs="Times New Roman"/>
          <w:b/>
          <w:u w:val="single"/>
        </w:rPr>
        <w:t>ARTICLE 2</w:t>
      </w:r>
      <w:r w:rsidRPr="003C17A7">
        <w:rPr>
          <w:rFonts w:ascii="Calibri" w:eastAsia="Calibri" w:hAnsi="Calibri" w:cs="Times New Roman"/>
          <w:b/>
        </w:rPr>
        <w:tab/>
      </w:r>
      <w:r w:rsidRPr="003C17A7">
        <w:rPr>
          <w:rFonts w:ascii="Calibri" w:eastAsia="Calibri" w:hAnsi="Calibri" w:cs="Times New Roman"/>
          <w:b/>
          <w:u w:val="single"/>
        </w:rPr>
        <w:t>INFORMATION DU COMITE CENTRAL D’ENTREPRISE</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 xml:space="preserve">Le présent article modifie l’article 3 (« Prestations ») de l’accord susmentionné du 2 octobre 2006. En effet, chaque révision à venir dudit accord donnera lieu à une information du Comité Central d’Entreprise. </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Les autres dispositions de l’article 3 de l’accord initial demeurent inchangées.</w:t>
      </w:r>
    </w:p>
    <w:p w:rsidR="00230696" w:rsidRPr="003C17A7" w:rsidRDefault="00230696" w:rsidP="00230696">
      <w:pPr>
        <w:spacing w:after="0" w:line="240" w:lineRule="auto"/>
        <w:contextualSpacing/>
        <w:jc w:val="both"/>
        <w:rPr>
          <w:rFonts w:ascii="Calibri" w:eastAsia="Calibri" w:hAnsi="Calibri" w:cs="Times New Roman"/>
          <w:b/>
        </w:rPr>
      </w:pPr>
    </w:p>
    <w:p w:rsidR="00230696" w:rsidRPr="003C17A7" w:rsidRDefault="00230696" w:rsidP="00230696">
      <w:pPr>
        <w:spacing w:after="0" w:line="240" w:lineRule="auto"/>
        <w:contextualSpacing/>
        <w:jc w:val="both"/>
        <w:rPr>
          <w:rFonts w:ascii="Calibri" w:eastAsia="Calibri" w:hAnsi="Calibri" w:cs="Times New Roman"/>
          <w:b/>
        </w:rPr>
      </w:pPr>
    </w:p>
    <w:p w:rsidR="00230696" w:rsidRPr="003C17A7" w:rsidRDefault="00230696" w:rsidP="00230696">
      <w:pPr>
        <w:spacing w:after="0" w:line="240" w:lineRule="auto"/>
        <w:contextualSpacing/>
        <w:jc w:val="both"/>
        <w:rPr>
          <w:rFonts w:ascii="Calibri" w:eastAsia="Calibri" w:hAnsi="Calibri" w:cs="Times New Roman"/>
          <w:b/>
          <w:u w:val="single"/>
        </w:rPr>
      </w:pPr>
      <w:r w:rsidRPr="003C17A7">
        <w:rPr>
          <w:rFonts w:ascii="Calibri" w:eastAsia="Calibri" w:hAnsi="Calibri" w:cs="Times New Roman"/>
          <w:b/>
          <w:u w:val="single"/>
        </w:rPr>
        <w:t>ARTICLE 3</w:t>
      </w:r>
      <w:r w:rsidRPr="003C17A7">
        <w:rPr>
          <w:rFonts w:ascii="Calibri" w:eastAsia="Calibri" w:hAnsi="Calibri" w:cs="Times New Roman"/>
          <w:b/>
        </w:rPr>
        <w:tab/>
      </w:r>
      <w:r w:rsidRPr="003C17A7">
        <w:rPr>
          <w:rFonts w:ascii="Calibri" w:eastAsia="Calibri" w:hAnsi="Calibri" w:cs="Times New Roman"/>
          <w:b/>
          <w:u w:val="single"/>
        </w:rPr>
        <w:t>DEFINITION DES CATEGORIES OBJECTIVES</w:t>
      </w:r>
    </w:p>
    <w:p w:rsidR="00230696" w:rsidRPr="003C17A7" w:rsidRDefault="00230696" w:rsidP="00230696">
      <w:pPr>
        <w:spacing w:after="0" w:line="240" w:lineRule="auto"/>
        <w:contextualSpacing/>
        <w:jc w:val="both"/>
        <w:rPr>
          <w:rFonts w:ascii="Calibri" w:eastAsia="Calibri" w:hAnsi="Calibri" w:cs="Times New Roman"/>
          <w:b/>
          <w:u w:val="single"/>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Le présent article modifie l’artic</w:t>
      </w:r>
      <w:r w:rsidR="0070594C" w:rsidRPr="003C17A7">
        <w:rPr>
          <w:rFonts w:ascii="Calibri" w:eastAsia="Calibri" w:hAnsi="Calibri" w:cs="Times New Roman"/>
        </w:rPr>
        <w:t>le 3 de l’avenant n°1 du 15 novembre</w:t>
      </w:r>
      <w:r w:rsidRPr="003C17A7">
        <w:rPr>
          <w:rFonts w:ascii="Calibri" w:eastAsia="Calibri" w:hAnsi="Calibri" w:cs="Times New Roman"/>
        </w:rPr>
        <w:t xml:space="preserve"> 2013 à l’accord du 2 octobre 2006. Il définit désormais les catégories objectives selon la classification suivante : </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numPr>
          <w:ilvl w:val="0"/>
          <w:numId w:val="1"/>
        </w:numPr>
        <w:spacing w:after="0" w:line="240" w:lineRule="auto"/>
        <w:contextualSpacing/>
        <w:jc w:val="both"/>
        <w:rPr>
          <w:rFonts w:ascii="Calibri" w:eastAsia="Calibri" w:hAnsi="Calibri" w:cs="Times New Roman"/>
        </w:rPr>
      </w:pPr>
      <w:r w:rsidRPr="003C17A7">
        <w:rPr>
          <w:rFonts w:ascii="Calibri" w:eastAsia="Calibri" w:hAnsi="Calibri" w:cs="Times New Roman"/>
        </w:rPr>
        <w:lastRenderedPageBreak/>
        <w:t>Le terme « d’ingénieurs et cadres » est remplacé par personnel relevant des articles 4 et 4 bis de la convention AGIRC du 14 mars 1947.</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numPr>
          <w:ilvl w:val="0"/>
          <w:numId w:val="1"/>
        </w:numPr>
        <w:spacing w:after="0" w:line="240" w:lineRule="auto"/>
        <w:contextualSpacing/>
        <w:jc w:val="both"/>
        <w:rPr>
          <w:rFonts w:ascii="Calibri" w:eastAsia="Calibri" w:hAnsi="Calibri" w:cs="Times New Roman"/>
        </w:rPr>
      </w:pPr>
      <w:r w:rsidRPr="003C17A7">
        <w:rPr>
          <w:rFonts w:ascii="Calibri" w:eastAsia="Calibri" w:hAnsi="Calibri" w:cs="Times New Roman"/>
        </w:rPr>
        <w:t>Le terme  « employés, techniciens et agents de maîtrise » est remplacé par personnel ne relevant pas des articles 4 et 4 bis de la convention AGIRC du 14 mars 1947.</w:t>
      </w: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b/>
          <w:u w:val="single"/>
        </w:rPr>
      </w:pPr>
      <w:r w:rsidRPr="003C17A7">
        <w:rPr>
          <w:rFonts w:ascii="Calibri" w:eastAsia="Calibri" w:hAnsi="Calibri" w:cs="Times New Roman"/>
          <w:b/>
          <w:u w:val="single"/>
        </w:rPr>
        <w:t>ARTICLE 4</w:t>
      </w:r>
      <w:r w:rsidRPr="003C17A7">
        <w:rPr>
          <w:rFonts w:ascii="Calibri" w:eastAsia="Calibri" w:hAnsi="Calibri" w:cs="Times New Roman"/>
          <w:b/>
        </w:rPr>
        <w:tab/>
      </w:r>
      <w:r w:rsidRPr="003C17A7">
        <w:rPr>
          <w:rFonts w:ascii="Calibri" w:eastAsia="Calibri" w:hAnsi="Calibri" w:cs="Times New Roman"/>
          <w:b/>
          <w:u w:val="single"/>
        </w:rPr>
        <w:t>COTISATIONS</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Le présent article modifie l’article 4.1 (« Taux, assiette, répartition des cotisations ») de l’accord susmentionné du 2 octobre 2006. Celui-ci est désormais rédigé de la manière suivante :</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FD5798" w:rsidP="00230696">
      <w:pPr>
        <w:spacing w:after="0" w:line="240" w:lineRule="auto"/>
        <w:contextualSpacing/>
        <w:jc w:val="both"/>
        <w:rPr>
          <w:rFonts w:ascii="Calibri" w:eastAsia="Calibri" w:hAnsi="Calibri" w:cs="Times New Roman"/>
          <w:i/>
        </w:rPr>
      </w:pPr>
      <w:r w:rsidRPr="003C17A7">
        <w:rPr>
          <w:rFonts w:ascii="Calibri" w:eastAsia="Calibri" w:hAnsi="Calibri" w:cs="Times New Roman"/>
          <w:i/>
        </w:rPr>
        <w:t>« </w:t>
      </w:r>
      <w:r w:rsidR="00230696" w:rsidRPr="003C17A7">
        <w:rPr>
          <w:rFonts w:ascii="Calibri" w:eastAsia="Calibri" w:hAnsi="Calibri" w:cs="Times New Roman"/>
          <w:i/>
        </w:rPr>
        <w:t>Les tarifs retenus sont :</w:t>
      </w:r>
    </w:p>
    <w:p w:rsidR="00230696" w:rsidRPr="003C17A7" w:rsidRDefault="00230696" w:rsidP="00230696">
      <w:pPr>
        <w:spacing w:after="0" w:line="240" w:lineRule="auto"/>
        <w:jc w:val="both"/>
        <w:rPr>
          <w:rFonts w:ascii="Calibri" w:eastAsia="Calibri" w:hAnsi="Calibri" w:cs="Times New Roman"/>
          <w:i/>
        </w:rPr>
      </w:pPr>
    </w:p>
    <w:tbl>
      <w:tblPr>
        <w:tblStyle w:val="Grilledutableau"/>
        <w:tblW w:w="0" w:type="auto"/>
        <w:jc w:val="center"/>
        <w:tblLook w:val="04A0" w:firstRow="1" w:lastRow="0" w:firstColumn="1" w:lastColumn="0" w:noHBand="0" w:noVBand="1"/>
      </w:tblPr>
      <w:tblGrid>
        <w:gridCol w:w="3458"/>
        <w:gridCol w:w="1139"/>
        <w:gridCol w:w="1136"/>
        <w:gridCol w:w="1133"/>
        <w:gridCol w:w="2201"/>
      </w:tblGrid>
      <w:tr w:rsidR="00501AC5" w:rsidRPr="003C17A7" w:rsidTr="00AC3BA5">
        <w:trPr>
          <w:jc w:val="center"/>
        </w:trPr>
        <w:tc>
          <w:tcPr>
            <w:tcW w:w="0" w:type="auto"/>
            <w:tcBorders>
              <w:top w:val="nil"/>
              <w:left w:val="nil"/>
              <w:bottom w:val="single" w:sz="4" w:space="0" w:color="auto"/>
              <w:right w:val="single" w:sz="4" w:space="0" w:color="auto"/>
            </w:tcBorders>
          </w:tcPr>
          <w:p w:rsidR="00230696" w:rsidRPr="003C17A7" w:rsidRDefault="00230696" w:rsidP="00230696">
            <w:pPr>
              <w:jc w:val="both"/>
              <w:rPr>
                <w:i/>
              </w:rPr>
            </w:pPr>
          </w:p>
        </w:tc>
        <w:tc>
          <w:tcPr>
            <w:tcW w:w="0" w:type="auto"/>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jc w:val="center"/>
              <w:rPr>
                <w:b/>
                <w:i/>
              </w:rPr>
            </w:pPr>
            <w:r w:rsidRPr="003C17A7">
              <w:rPr>
                <w:b/>
                <w:i/>
              </w:rPr>
              <w:t>Taux Tranche A</w:t>
            </w:r>
          </w:p>
        </w:tc>
        <w:tc>
          <w:tcPr>
            <w:tcW w:w="0" w:type="auto"/>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jc w:val="center"/>
              <w:rPr>
                <w:b/>
                <w:i/>
              </w:rPr>
            </w:pPr>
            <w:r w:rsidRPr="003C17A7">
              <w:rPr>
                <w:b/>
                <w:i/>
              </w:rPr>
              <w:t>Taux Tranche B</w:t>
            </w:r>
          </w:p>
        </w:tc>
        <w:tc>
          <w:tcPr>
            <w:tcW w:w="0" w:type="auto"/>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jc w:val="center"/>
              <w:rPr>
                <w:b/>
                <w:i/>
              </w:rPr>
            </w:pPr>
            <w:r w:rsidRPr="003C17A7">
              <w:rPr>
                <w:b/>
                <w:i/>
              </w:rPr>
              <w:t>Taux Tranche C</w:t>
            </w:r>
          </w:p>
        </w:tc>
        <w:tc>
          <w:tcPr>
            <w:tcW w:w="0" w:type="auto"/>
            <w:tcBorders>
              <w:top w:val="single" w:sz="4" w:space="0" w:color="auto"/>
              <w:left w:val="single" w:sz="4" w:space="0" w:color="auto"/>
              <w:bottom w:val="single" w:sz="4" w:space="0" w:color="auto"/>
              <w:right w:val="single" w:sz="4" w:space="0" w:color="auto"/>
            </w:tcBorders>
          </w:tcPr>
          <w:p w:rsidR="00230696" w:rsidRPr="003C17A7" w:rsidRDefault="00230696" w:rsidP="00230696">
            <w:pPr>
              <w:jc w:val="center"/>
              <w:rPr>
                <w:b/>
                <w:i/>
              </w:rPr>
            </w:pPr>
            <w:r w:rsidRPr="003C17A7">
              <w:rPr>
                <w:b/>
                <w:i/>
              </w:rPr>
              <w:t>Cotisation additionnelle forfaitaire en Euros</w:t>
            </w:r>
          </w:p>
        </w:tc>
      </w:tr>
      <w:tr w:rsidR="00374C2B" w:rsidRPr="003C17A7" w:rsidTr="00AC3BA5">
        <w:trPr>
          <w:jc w:val="center"/>
        </w:trPr>
        <w:tc>
          <w:tcPr>
            <w:tcW w:w="0" w:type="auto"/>
            <w:tcBorders>
              <w:top w:val="single" w:sz="4" w:space="0" w:color="auto"/>
              <w:left w:val="single" w:sz="4" w:space="0" w:color="auto"/>
              <w:bottom w:val="single" w:sz="4" w:space="0" w:color="auto"/>
              <w:right w:val="single" w:sz="4" w:space="0" w:color="auto"/>
            </w:tcBorders>
            <w:hideMark/>
          </w:tcPr>
          <w:p w:rsidR="00374C2B" w:rsidRPr="003C17A7" w:rsidRDefault="00C23565" w:rsidP="00C23565">
            <w:pPr>
              <w:rPr>
                <w:b/>
                <w:i/>
              </w:rPr>
            </w:pPr>
            <w:r w:rsidRPr="003C17A7">
              <w:t>Personnel relevant ou ne relevant pas des articles 4 et 4 Bis de la convention AGIRC du 14 mars 1947</w:t>
            </w:r>
          </w:p>
        </w:tc>
        <w:tc>
          <w:tcPr>
            <w:tcW w:w="0" w:type="auto"/>
            <w:tcBorders>
              <w:top w:val="single" w:sz="4" w:space="0" w:color="auto"/>
              <w:left w:val="single" w:sz="4" w:space="0" w:color="auto"/>
              <w:bottom w:val="single" w:sz="4" w:space="0" w:color="auto"/>
              <w:right w:val="single" w:sz="4" w:space="0" w:color="auto"/>
            </w:tcBorders>
            <w:vAlign w:val="center"/>
            <w:hideMark/>
          </w:tcPr>
          <w:p w:rsidR="00230696" w:rsidRPr="003C17A7" w:rsidRDefault="00230696" w:rsidP="004A7EB8">
            <w:pPr>
              <w:jc w:val="center"/>
              <w:rPr>
                <w:i/>
              </w:rPr>
            </w:pPr>
            <w:r w:rsidRPr="003C17A7">
              <w:rPr>
                <w:i/>
              </w:rPr>
              <w:t>2,372%</w:t>
            </w:r>
          </w:p>
        </w:tc>
        <w:tc>
          <w:tcPr>
            <w:tcW w:w="0" w:type="auto"/>
            <w:tcBorders>
              <w:top w:val="single" w:sz="4" w:space="0" w:color="auto"/>
              <w:left w:val="single" w:sz="4" w:space="0" w:color="auto"/>
              <w:bottom w:val="single" w:sz="4" w:space="0" w:color="auto"/>
              <w:right w:val="single" w:sz="4" w:space="0" w:color="auto"/>
            </w:tcBorders>
            <w:vAlign w:val="center"/>
            <w:hideMark/>
          </w:tcPr>
          <w:p w:rsidR="00230696" w:rsidRPr="003C17A7" w:rsidRDefault="00230696" w:rsidP="004A7EB8">
            <w:pPr>
              <w:jc w:val="center"/>
              <w:rPr>
                <w:i/>
              </w:rPr>
            </w:pPr>
            <w:r w:rsidRPr="003C17A7">
              <w:rPr>
                <w:i/>
              </w:rPr>
              <w:t>1 ,954%</w:t>
            </w:r>
          </w:p>
        </w:tc>
        <w:tc>
          <w:tcPr>
            <w:tcW w:w="0" w:type="auto"/>
            <w:tcBorders>
              <w:top w:val="single" w:sz="4" w:space="0" w:color="auto"/>
              <w:left w:val="single" w:sz="4" w:space="0" w:color="auto"/>
              <w:bottom w:val="single" w:sz="4" w:space="0" w:color="auto"/>
              <w:right w:val="single" w:sz="4" w:space="0" w:color="auto"/>
            </w:tcBorders>
            <w:vAlign w:val="center"/>
            <w:hideMark/>
          </w:tcPr>
          <w:p w:rsidR="00230696" w:rsidRPr="003C17A7" w:rsidRDefault="00230696" w:rsidP="004A7EB8">
            <w:pPr>
              <w:jc w:val="center"/>
              <w:rPr>
                <w:i/>
              </w:rPr>
            </w:pPr>
            <w:r w:rsidRPr="003C17A7">
              <w:rPr>
                <w:i/>
              </w:rPr>
              <w:t>1,954%</w:t>
            </w:r>
          </w:p>
        </w:tc>
        <w:tc>
          <w:tcPr>
            <w:tcW w:w="0" w:type="auto"/>
            <w:tcBorders>
              <w:top w:val="single" w:sz="4" w:space="0" w:color="auto"/>
              <w:left w:val="single" w:sz="4" w:space="0" w:color="auto"/>
              <w:bottom w:val="single" w:sz="4" w:space="0" w:color="auto"/>
              <w:right w:val="single" w:sz="4" w:space="0" w:color="auto"/>
            </w:tcBorders>
          </w:tcPr>
          <w:p w:rsidR="00AC3BA5" w:rsidRPr="003C17A7" w:rsidRDefault="00AC3BA5" w:rsidP="004A7EB8">
            <w:pPr>
              <w:jc w:val="center"/>
              <w:rPr>
                <w:i/>
              </w:rPr>
            </w:pPr>
          </w:p>
          <w:p w:rsidR="00230696" w:rsidRPr="003C17A7" w:rsidRDefault="00501AC5" w:rsidP="004A7EB8">
            <w:pPr>
              <w:jc w:val="center"/>
              <w:rPr>
                <w:i/>
              </w:rPr>
            </w:pPr>
            <w:r w:rsidRPr="003C17A7">
              <w:rPr>
                <w:i/>
              </w:rPr>
              <w:t xml:space="preserve">6 </w:t>
            </w:r>
            <w:r w:rsidR="00230696" w:rsidRPr="003C17A7">
              <w:rPr>
                <w:i/>
              </w:rPr>
              <w:t>€</w:t>
            </w:r>
          </w:p>
          <w:p w:rsidR="00374C2B" w:rsidRPr="003C17A7" w:rsidRDefault="00374C2B" w:rsidP="004A7EB8">
            <w:pPr>
              <w:jc w:val="center"/>
              <w:rPr>
                <w:i/>
              </w:rPr>
            </w:pPr>
          </w:p>
        </w:tc>
      </w:tr>
    </w:tbl>
    <w:p w:rsidR="00230696" w:rsidRPr="003C17A7" w:rsidRDefault="00230696" w:rsidP="00230696">
      <w:pPr>
        <w:spacing w:after="0" w:line="240" w:lineRule="auto"/>
        <w:jc w:val="both"/>
        <w:rPr>
          <w:rFonts w:ascii="Calibri" w:eastAsia="Calibri" w:hAnsi="Calibri" w:cs="Times New Roman"/>
          <w:i/>
        </w:rPr>
      </w:pPr>
    </w:p>
    <w:p w:rsidR="00230696" w:rsidRPr="003C17A7" w:rsidRDefault="00230696" w:rsidP="00230696">
      <w:pPr>
        <w:spacing w:after="0" w:line="240" w:lineRule="auto"/>
        <w:jc w:val="both"/>
        <w:rPr>
          <w:rFonts w:ascii="Calibri" w:eastAsia="Calibri" w:hAnsi="Calibri" w:cs="Times New Roman"/>
          <w:i/>
        </w:rPr>
      </w:pPr>
      <w:r w:rsidRPr="003C17A7">
        <w:rPr>
          <w:rFonts w:ascii="Calibri" w:eastAsia="Calibri" w:hAnsi="Calibri" w:cs="Times New Roman"/>
          <w:i/>
        </w:rPr>
        <w:t>L’assiette de calcul sur les tranches A, B et C correspond à la totalité de la rémunération brute perçue plafonnée au maximum de la tranche C retenue pour le calcul des cotisations AGIRC.</w:t>
      </w:r>
    </w:p>
    <w:p w:rsidR="00230696" w:rsidRPr="003C17A7" w:rsidRDefault="00230696" w:rsidP="00230696">
      <w:pPr>
        <w:spacing w:after="0" w:line="240" w:lineRule="auto"/>
        <w:jc w:val="both"/>
        <w:rPr>
          <w:rFonts w:ascii="Calibri" w:eastAsia="Calibri" w:hAnsi="Calibri" w:cs="Times New Roman"/>
          <w:i/>
        </w:rPr>
      </w:pPr>
    </w:p>
    <w:p w:rsidR="0082399E" w:rsidRPr="003C17A7" w:rsidRDefault="00230696" w:rsidP="0082399E">
      <w:pPr>
        <w:spacing w:after="0" w:line="240" w:lineRule="auto"/>
        <w:jc w:val="both"/>
        <w:rPr>
          <w:rFonts w:ascii="Calibri" w:eastAsia="Calibri" w:hAnsi="Calibri" w:cs="Times New Roman"/>
          <w:i/>
        </w:rPr>
      </w:pPr>
      <w:r w:rsidRPr="003C17A7">
        <w:rPr>
          <w:rFonts w:ascii="Calibri" w:eastAsia="Calibri" w:hAnsi="Calibri" w:cs="Times New Roman"/>
          <w:i/>
        </w:rPr>
        <w:t xml:space="preserve">La cotisation additionnelle forfaitaire </w:t>
      </w:r>
      <w:r w:rsidR="0070594C" w:rsidRPr="003C17A7">
        <w:rPr>
          <w:rFonts w:ascii="Calibri" w:eastAsia="Calibri" w:hAnsi="Calibri" w:cs="Times New Roman"/>
          <w:i/>
        </w:rPr>
        <w:t xml:space="preserve">mensuelle </w:t>
      </w:r>
      <w:r w:rsidRPr="003C17A7">
        <w:rPr>
          <w:rFonts w:ascii="Calibri" w:eastAsia="Calibri" w:hAnsi="Calibri" w:cs="Times New Roman"/>
          <w:i/>
        </w:rPr>
        <w:t xml:space="preserve">en Euros </w:t>
      </w:r>
      <w:r w:rsidR="00AC3BA5" w:rsidRPr="003C17A7">
        <w:rPr>
          <w:rFonts w:ascii="Calibri" w:eastAsia="Calibri" w:hAnsi="Calibri" w:cs="Times New Roman"/>
          <w:i/>
        </w:rPr>
        <w:t xml:space="preserve">présente un caractère exceptionnel. Elle </w:t>
      </w:r>
      <w:r w:rsidRPr="003C17A7">
        <w:rPr>
          <w:rFonts w:ascii="Calibri" w:eastAsia="Calibri" w:hAnsi="Calibri" w:cs="Times New Roman"/>
          <w:i/>
        </w:rPr>
        <w:t>s’ajoute à la cotisation assise sur la rémunération.</w:t>
      </w:r>
    </w:p>
    <w:p w:rsidR="0061712A" w:rsidRPr="003C17A7" w:rsidRDefault="0061712A" w:rsidP="0061712A">
      <w:pPr>
        <w:spacing w:after="0" w:line="240" w:lineRule="auto"/>
        <w:jc w:val="both"/>
        <w:rPr>
          <w:rFonts w:ascii="Calibri" w:eastAsia="Calibri" w:hAnsi="Calibri" w:cs="Times New Roman"/>
          <w:i/>
        </w:rPr>
      </w:pPr>
    </w:p>
    <w:p w:rsidR="00374C2B" w:rsidRPr="003C17A7" w:rsidRDefault="00374C2B" w:rsidP="00374C2B">
      <w:pPr>
        <w:spacing w:after="0" w:line="240" w:lineRule="auto"/>
        <w:jc w:val="both"/>
        <w:rPr>
          <w:rFonts w:ascii="Calibri" w:eastAsia="Calibri" w:hAnsi="Calibri" w:cs="Times New Roman"/>
          <w:i/>
        </w:rPr>
      </w:pPr>
      <w:r w:rsidRPr="003C17A7">
        <w:rPr>
          <w:rFonts w:ascii="Calibri" w:eastAsia="Calibri" w:hAnsi="Calibri" w:cs="Times New Roman"/>
          <w:i/>
        </w:rPr>
        <w:t>Le montant de cette cotisation mensuelle est susceptible de révision chaque année, à la hausse comme à la baisse, en fonction des résultats du régime présentés à la commission de suivi. Un avenant sera nécessaire dans l’hypothèse où le montant de cette cotisation mensuelle devrait excéder 8€.</w:t>
      </w:r>
    </w:p>
    <w:p w:rsidR="00501AC5" w:rsidRPr="003C17A7" w:rsidRDefault="00501AC5">
      <w:pPr>
        <w:rPr>
          <w:rFonts w:ascii="Calibri" w:eastAsia="Calibri" w:hAnsi="Calibri" w:cs="Times New Roman"/>
          <w:i/>
          <w:color w:val="FF0000"/>
        </w:rPr>
      </w:pPr>
      <w:r w:rsidRPr="003C17A7">
        <w:rPr>
          <w:rFonts w:ascii="Calibri" w:eastAsia="Calibri" w:hAnsi="Calibri" w:cs="Times New Roman"/>
          <w:i/>
          <w:color w:val="FF0000"/>
        </w:rPr>
        <w:br w:type="page"/>
      </w:r>
    </w:p>
    <w:p w:rsidR="0082399E" w:rsidRPr="003C17A7" w:rsidRDefault="0082399E" w:rsidP="0082399E">
      <w:pPr>
        <w:spacing w:after="0" w:line="240" w:lineRule="auto"/>
        <w:jc w:val="both"/>
        <w:rPr>
          <w:rFonts w:ascii="Calibri" w:eastAsia="Calibri" w:hAnsi="Calibri" w:cs="Times New Roman"/>
          <w:i/>
          <w:color w:val="FF0000"/>
        </w:rPr>
      </w:pPr>
    </w:p>
    <w:p w:rsidR="00230696" w:rsidRPr="003C17A7" w:rsidRDefault="00230696" w:rsidP="0082399E">
      <w:pPr>
        <w:spacing w:after="0" w:line="240" w:lineRule="auto"/>
        <w:jc w:val="both"/>
        <w:rPr>
          <w:rFonts w:ascii="Calibri" w:eastAsia="Calibri" w:hAnsi="Calibri" w:cs="Times New Roman"/>
          <w:i/>
        </w:rPr>
      </w:pPr>
      <w:r w:rsidRPr="003C17A7">
        <w:rPr>
          <w:rFonts w:ascii="Calibri" w:eastAsia="Calibri" w:hAnsi="Calibri" w:cs="Times New Roman"/>
          <w:i/>
        </w:rPr>
        <w:t>La répartition des cotisations entre l’employeur et le salarié s’organise de la façon suivante :</w:t>
      </w:r>
    </w:p>
    <w:p w:rsidR="00230696" w:rsidRPr="003C17A7" w:rsidRDefault="00230696" w:rsidP="00230696">
      <w:pPr>
        <w:spacing w:after="0" w:line="240" w:lineRule="auto"/>
        <w:contextualSpacing/>
        <w:jc w:val="both"/>
        <w:rPr>
          <w:rFonts w:ascii="Calibri" w:eastAsia="Calibri" w:hAnsi="Calibri" w:cs="Times New Roman"/>
          <w:i/>
        </w:rPr>
      </w:pPr>
    </w:p>
    <w:tbl>
      <w:tblPr>
        <w:tblStyle w:val="Grilledutableau"/>
        <w:tblW w:w="8659" w:type="dxa"/>
        <w:tblInd w:w="125" w:type="dxa"/>
        <w:tblLayout w:type="fixed"/>
        <w:tblLook w:val="04A0" w:firstRow="1" w:lastRow="0" w:firstColumn="1" w:lastColumn="0" w:noHBand="0" w:noVBand="1"/>
      </w:tblPr>
      <w:tblGrid>
        <w:gridCol w:w="1969"/>
        <w:gridCol w:w="796"/>
        <w:gridCol w:w="734"/>
        <w:gridCol w:w="821"/>
        <w:gridCol w:w="810"/>
        <w:gridCol w:w="846"/>
        <w:gridCol w:w="850"/>
        <w:gridCol w:w="846"/>
        <w:gridCol w:w="987"/>
      </w:tblGrid>
      <w:tr w:rsidR="00501AC5" w:rsidRPr="003C17A7" w:rsidTr="007C59CD">
        <w:tc>
          <w:tcPr>
            <w:tcW w:w="1969" w:type="dxa"/>
            <w:tcBorders>
              <w:top w:val="nil"/>
              <w:left w:val="nil"/>
              <w:bottom w:val="nil"/>
              <w:right w:val="single" w:sz="4" w:space="0" w:color="auto"/>
            </w:tcBorders>
          </w:tcPr>
          <w:p w:rsidR="00230696" w:rsidRPr="003C17A7" w:rsidRDefault="00230696" w:rsidP="00230696">
            <w:pPr>
              <w:contextualSpacing/>
              <w:jc w:val="both"/>
              <w:rPr>
                <w:i/>
              </w:rPr>
            </w:pPr>
          </w:p>
        </w:tc>
        <w:tc>
          <w:tcPr>
            <w:tcW w:w="1530" w:type="dxa"/>
            <w:gridSpan w:val="2"/>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b/>
                <w:i/>
              </w:rPr>
            </w:pPr>
            <w:r w:rsidRPr="003C17A7">
              <w:rPr>
                <w:b/>
                <w:i/>
              </w:rPr>
              <w:t>Taux Tranche A</w:t>
            </w:r>
          </w:p>
        </w:tc>
        <w:tc>
          <w:tcPr>
            <w:tcW w:w="1631" w:type="dxa"/>
            <w:gridSpan w:val="2"/>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b/>
                <w:i/>
              </w:rPr>
            </w:pPr>
            <w:r w:rsidRPr="003C17A7">
              <w:rPr>
                <w:b/>
                <w:i/>
              </w:rPr>
              <w:t>Taux Tranche B</w:t>
            </w:r>
          </w:p>
        </w:tc>
        <w:tc>
          <w:tcPr>
            <w:tcW w:w="1696" w:type="dxa"/>
            <w:gridSpan w:val="2"/>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b/>
                <w:i/>
              </w:rPr>
            </w:pPr>
            <w:r w:rsidRPr="003C17A7">
              <w:rPr>
                <w:b/>
                <w:i/>
              </w:rPr>
              <w:t>Taux Tranche C</w:t>
            </w:r>
          </w:p>
        </w:tc>
        <w:tc>
          <w:tcPr>
            <w:tcW w:w="1833" w:type="dxa"/>
            <w:gridSpan w:val="2"/>
            <w:tcBorders>
              <w:top w:val="single" w:sz="4" w:space="0" w:color="auto"/>
              <w:left w:val="single" w:sz="4" w:space="0" w:color="auto"/>
              <w:bottom w:val="single" w:sz="4" w:space="0" w:color="auto"/>
              <w:right w:val="single" w:sz="4" w:space="0" w:color="auto"/>
            </w:tcBorders>
          </w:tcPr>
          <w:p w:rsidR="00230696" w:rsidRPr="003C17A7" w:rsidRDefault="00230696" w:rsidP="00230696">
            <w:pPr>
              <w:contextualSpacing/>
              <w:jc w:val="center"/>
              <w:rPr>
                <w:b/>
                <w:i/>
              </w:rPr>
            </w:pPr>
            <w:r w:rsidRPr="003C17A7">
              <w:rPr>
                <w:b/>
                <w:i/>
              </w:rPr>
              <w:t>Cotisation additionnelle forfaitaire en Euros</w:t>
            </w:r>
          </w:p>
        </w:tc>
      </w:tr>
      <w:tr w:rsidR="00501AC5" w:rsidRPr="003C17A7" w:rsidTr="007C59CD">
        <w:tc>
          <w:tcPr>
            <w:tcW w:w="1969" w:type="dxa"/>
            <w:tcBorders>
              <w:top w:val="nil"/>
              <w:left w:val="nil"/>
              <w:bottom w:val="single" w:sz="4" w:space="0" w:color="auto"/>
              <w:right w:val="single" w:sz="4" w:space="0" w:color="auto"/>
            </w:tcBorders>
          </w:tcPr>
          <w:p w:rsidR="00230696" w:rsidRPr="003C17A7" w:rsidRDefault="00230696" w:rsidP="00230696">
            <w:pPr>
              <w:contextualSpacing/>
              <w:jc w:val="both"/>
              <w:rPr>
                <w:i/>
              </w:rPr>
            </w:pPr>
          </w:p>
          <w:p w:rsidR="00230696" w:rsidRPr="003C17A7" w:rsidRDefault="00230696" w:rsidP="00230696">
            <w:pPr>
              <w:contextualSpacing/>
              <w:jc w:val="both"/>
              <w:rPr>
                <w:i/>
              </w:rPr>
            </w:pPr>
          </w:p>
        </w:tc>
        <w:tc>
          <w:tcPr>
            <w:tcW w:w="796"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Part patro-nale</w:t>
            </w:r>
          </w:p>
        </w:tc>
        <w:tc>
          <w:tcPr>
            <w:tcW w:w="734"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Part salar-</w:t>
            </w:r>
          </w:p>
          <w:p w:rsidR="00230696" w:rsidRPr="003C17A7" w:rsidRDefault="00230696" w:rsidP="00230696">
            <w:pPr>
              <w:contextualSpacing/>
              <w:jc w:val="center"/>
              <w:rPr>
                <w:i/>
              </w:rPr>
            </w:pPr>
            <w:r w:rsidRPr="003C17A7">
              <w:rPr>
                <w:i/>
              </w:rPr>
              <w:t>iale</w:t>
            </w:r>
          </w:p>
        </w:tc>
        <w:tc>
          <w:tcPr>
            <w:tcW w:w="821"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Part patro-</w:t>
            </w:r>
          </w:p>
          <w:p w:rsidR="00230696" w:rsidRPr="003C17A7" w:rsidRDefault="00230696" w:rsidP="00230696">
            <w:pPr>
              <w:contextualSpacing/>
              <w:jc w:val="center"/>
              <w:rPr>
                <w:i/>
              </w:rPr>
            </w:pPr>
            <w:r w:rsidRPr="003C17A7">
              <w:rPr>
                <w:i/>
              </w:rPr>
              <w:t>nale</w:t>
            </w:r>
          </w:p>
        </w:tc>
        <w:tc>
          <w:tcPr>
            <w:tcW w:w="810"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Part salar-iale</w:t>
            </w:r>
          </w:p>
        </w:tc>
        <w:tc>
          <w:tcPr>
            <w:tcW w:w="846"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Part patro-</w:t>
            </w:r>
          </w:p>
          <w:p w:rsidR="00230696" w:rsidRPr="003C17A7" w:rsidRDefault="00230696" w:rsidP="00230696">
            <w:pPr>
              <w:contextualSpacing/>
              <w:jc w:val="center"/>
              <w:rPr>
                <w:i/>
              </w:rPr>
            </w:pPr>
            <w:r w:rsidRPr="003C17A7">
              <w:rPr>
                <w:i/>
              </w:rPr>
              <w:t>nale</w:t>
            </w:r>
          </w:p>
        </w:tc>
        <w:tc>
          <w:tcPr>
            <w:tcW w:w="850"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 xml:space="preserve">Part </w:t>
            </w:r>
          </w:p>
          <w:p w:rsidR="00230696" w:rsidRPr="003C17A7" w:rsidRDefault="00230696" w:rsidP="00230696">
            <w:pPr>
              <w:contextualSpacing/>
              <w:jc w:val="center"/>
              <w:rPr>
                <w:i/>
              </w:rPr>
            </w:pPr>
            <w:r w:rsidRPr="003C17A7">
              <w:rPr>
                <w:i/>
              </w:rPr>
              <w:t>salar-</w:t>
            </w:r>
          </w:p>
          <w:p w:rsidR="00230696" w:rsidRPr="003C17A7" w:rsidRDefault="00230696" w:rsidP="00230696">
            <w:pPr>
              <w:contextualSpacing/>
              <w:jc w:val="center"/>
              <w:rPr>
                <w:i/>
              </w:rPr>
            </w:pPr>
            <w:r w:rsidRPr="003C17A7">
              <w:rPr>
                <w:i/>
              </w:rPr>
              <w:t>iale</w:t>
            </w:r>
          </w:p>
        </w:tc>
        <w:tc>
          <w:tcPr>
            <w:tcW w:w="846" w:type="dxa"/>
            <w:tcBorders>
              <w:top w:val="single" w:sz="4" w:space="0" w:color="auto"/>
              <w:left w:val="single" w:sz="4" w:space="0" w:color="auto"/>
              <w:bottom w:val="single" w:sz="4" w:space="0" w:color="auto"/>
              <w:right w:val="single" w:sz="4" w:space="0" w:color="auto"/>
            </w:tcBorders>
          </w:tcPr>
          <w:p w:rsidR="00230696" w:rsidRPr="003C17A7" w:rsidRDefault="00230696" w:rsidP="00230696">
            <w:pPr>
              <w:contextualSpacing/>
              <w:jc w:val="center"/>
              <w:rPr>
                <w:i/>
              </w:rPr>
            </w:pPr>
            <w:r w:rsidRPr="003C17A7">
              <w:rPr>
                <w:i/>
              </w:rPr>
              <w:t>Part salar-</w:t>
            </w:r>
          </w:p>
          <w:p w:rsidR="00230696" w:rsidRPr="003C17A7" w:rsidRDefault="00230696" w:rsidP="00230696">
            <w:pPr>
              <w:contextualSpacing/>
              <w:jc w:val="center"/>
              <w:rPr>
                <w:i/>
              </w:rPr>
            </w:pPr>
            <w:r w:rsidRPr="003C17A7">
              <w:rPr>
                <w:i/>
              </w:rPr>
              <w:t xml:space="preserve">iale </w:t>
            </w:r>
          </w:p>
          <w:p w:rsidR="00230696" w:rsidRPr="003C17A7" w:rsidRDefault="00230696" w:rsidP="00230696">
            <w:pPr>
              <w:contextualSpacing/>
              <w:jc w:val="center"/>
              <w:rPr>
                <w:i/>
              </w:rPr>
            </w:pPr>
          </w:p>
        </w:tc>
        <w:tc>
          <w:tcPr>
            <w:tcW w:w="987" w:type="dxa"/>
            <w:tcBorders>
              <w:top w:val="single" w:sz="4" w:space="0" w:color="auto"/>
              <w:left w:val="single" w:sz="4" w:space="0" w:color="auto"/>
              <w:bottom w:val="single" w:sz="4" w:space="0" w:color="auto"/>
              <w:right w:val="single" w:sz="4" w:space="0" w:color="auto"/>
            </w:tcBorders>
          </w:tcPr>
          <w:p w:rsidR="00230696" w:rsidRPr="003C17A7" w:rsidRDefault="00230696" w:rsidP="00230696">
            <w:pPr>
              <w:contextualSpacing/>
              <w:jc w:val="center"/>
              <w:rPr>
                <w:i/>
              </w:rPr>
            </w:pPr>
            <w:r w:rsidRPr="003C17A7">
              <w:rPr>
                <w:i/>
              </w:rPr>
              <w:t>Part patro-</w:t>
            </w:r>
          </w:p>
          <w:p w:rsidR="00230696" w:rsidRPr="003C17A7" w:rsidRDefault="00230696" w:rsidP="00230696">
            <w:pPr>
              <w:contextualSpacing/>
              <w:jc w:val="center"/>
              <w:rPr>
                <w:i/>
              </w:rPr>
            </w:pPr>
            <w:r w:rsidRPr="003C17A7">
              <w:rPr>
                <w:i/>
              </w:rPr>
              <w:t>nale</w:t>
            </w:r>
          </w:p>
        </w:tc>
      </w:tr>
      <w:tr w:rsidR="00501AC5" w:rsidRPr="003C17A7" w:rsidTr="007C59CD">
        <w:tc>
          <w:tcPr>
            <w:tcW w:w="1969" w:type="dxa"/>
            <w:vMerge w:val="restart"/>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rPr>
                <w:b/>
                <w:i/>
              </w:rPr>
            </w:pPr>
            <w:r w:rsidRPr="003C17A7">
              <w:rPr>
                <w:b/>
                <w:i/>
              </w:rPr>
              <w:t>Personnel relevant des articles 4 et 4 Bis de la convention AGIRC du 14 mars 1947</w:t>
            </w:r>
          </w:p>
        </w:tc>
        <w:tc>
          <w:tcPr>
            <w:tcW w:w="796"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81%</w:t>
            </w:r>
          </w:p>
        </w:tc>
        <w:tc>
          <w:tcPr>
            <w:tcW w:w="734"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19%</w:t>
            </w:r>
          </w:p>
        </w:tc>
        <w:tc>
          <w:tcPr>
            <w:tcW w:w="821"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50%</w:t>
            </w:r>
          </w:p>
        </w:tc>
        <w:tc>
          <w:tcPr>
            <w:tcW w:w="810"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50%</w:t>
            </w:r>
          </w:p>
        </w:tc>
        <w:tc>
          <w:tcPr>
            <w:tcW w:w="846"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50%</w:t>
            </w:r>
          </w:p>
        </w:tc>
        <w:tc>
          <w:tcPr>
            <w:tcW w:w="850"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50%</w:t>
            </w:r>
          </w:p>
        </w:tc>
        <w:tc>
          <w:tcPr>
            <w:tcW w:w="846" w:type="dxa"/>
            <w:tcBorders>
              <w:top w:val="single" w:sz="4" w:space="0" w:color="auto"/>
              <w:left w:val="single" w:sz="4" w:space="0" w:color="auto"/>
              <w:bottom w:val="single" w:sz="4" w:space="0" w:color="auto"/>
              <w:right w:val="single" w:sz="4" w:space="0" w:color="auto"/>
            </w:tcBorders>
          </w:tcPr>
          <w:p w:rsidR="00230696" w:rsidRPr="003C17A7" w:rsidRDefault="00230696" w:rsidP="00230696">
            <w:pPr>
              <w:contextualSpacing/>
              <w:jc w:val="center"/>
              <w:rPr>
                <w:i/>
              </w:rPr>
            </w:pPr>
            <w:r w:rsidRPr="003C17A7">
              <w:rPr>
                <w:i/>
              </w:rPr>
              <w:t>100%</w:t>
            </w:r>
          </w:p>
          <w:p w:rsidR="00230696" w:rsidRPr="003C17A7" w:rsidRDefault="00230696" w:rsidP="00230696">
            <w:pPr>
              <w:contextualSpacing/>
              <w:jc w:val="center"/>
              <w:rPr>
                <w:i/>
              </w:rPr>
            </w:pPr>
          </w:p>
        </w:tc>
        <w:tc>
          <w:tcPr>
            <w:tcW w:w="987" w:type="dxa"/>
            <w:tcBorders>
              <w:top w:val="single" w:sz="4" w:space="0" w:color="auto"/>
              <w:left w:val="single" w:sz="4" w:space="0" w:color="auto"/>
              <w:bottom w:val="single" w:sz="4" w:space="0" w:color="auto"/>
              <w:right w:val="single" w:sz="4" w:space="0" w:color="auto"/>
            </w:tcBorders>
          </w:tcPr>
          <w:p w:rsidR="00230696" w:rsidRPr="003C17A7" w:rsidRDefault="00230696" w:rsidP="00230696">
            <w:pPr>
              <w:contextualSpacing/>
              <w:jc w:val="center"/>
              <w:rPr>
                <w:i/>
              </w:rPr>
            </w:pPr>
            <w:r w:rsidRPr="003C17A7">
              <w:rPr>
                <w:i/>
              </w:rPr>
              <w:t>0%</w:t>
            </w:r>
          </w:p>
        </w:tc>
      </w:tr>
      <w:tr w:rsidR="00501AC5" w:rsidRPr="003C17A7" w:rsidTr="007C59CD">
        <w:tc>
          <w:tcPr>
            <w:tcW w:w="1969" w:type="dxa"/>
            <w:vMerge/>
            <w:tcBorders>
              <w:top w:val="single" w:sz="4" w:space="0" w:color="auto"/>
              <w:left w:val="single" w:sz="4" w:space="0" w:color="auto"/>
              <w:bottom w:val="single" w:sz="4" w:space="0" w:color="auto"/>
              <w:right w:val="single" w:sz="4" w:space="0" w:color="auto"/>
            </w:tcBorders>
            <w:vAlign w:val="center"/>
            <w:hideMark/>
          </w:tcPr>
          <w:p w:rsidR="00230696" w:rsidRPr="003C17A7" w:rsidRDefault="00230696" w:rsidP="00230696">
            <w:pPr>
              <w:rPr>
                <w:b/>
                <w:i/>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0696" w:rsidRPr="003C17A7" w:rsidRDefault="00230696" w:rsidP="00230696">
            <w:pPr>
              <w:contextualSpacing/>
              <w:jc w:val="center"/>
              <w:rPr>
                <w:i/>
              </w:rPr>
            </w:pPr>
          </w:p>
          <w:p w:rsidR="00230696" w:rsidRPr="003C17A7" w:rsidRDefault="00230696" w:rsidP="00230696">
            <w:pPr>
              <w:contextualSpacing/>
              <w:jc w:val="center"/>
              <w:rPr>
                <w:i/>
              </w:rPr>
            </w:pPr>
            <w:r w:rsidRPr="003C17A7">
              <w:rPr>
                <w:i/>
              </w:rPr>
              <w:t>100%</w:t>
            </w:r>
          </w:p>
        </w:tc>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0696" w:rsidRPr="003C17A7" w:rsidRDefault="00230696" w:rsidP="00230696">
            <w:pPr>
              <w:contextualSpacing/>
              <w:jc w:val="center"/>
              <w:rPr>
                <w:i/>
              </w:rPr>
            </w:pPr>
          </w:p>
          <w:p w:rsidR="00230696" w:rsidRPr="003C17A7" w:rsidRDefault="00230696" w:rsidP="00230696">
            <w:pPr>
              <w:contextualSpacing/>
              <w:jc w:val="center"/>
              <w:rPr>
                <w:i/>
              </w:rPr>
            </w:pPr>
            <w:r w:rsidRPr="003C17A7">
              <w:rPr>
                <w:i/>
              </w:rPr>
              <w:t>100%</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0696" w:rsidRPr="003C17A7" w:rsidRDefault="00230696" w:rsidP="00230696">
            <w:pPr>
              <w:contextualSpacing/>
              <w:jc w:val="center"/>
              <w:rPr>
                <w:i/>
              </w:rPr>
            </w:pPr>
          </w:p>
          <w:p w:rsidR="00230696" w:rsidRPr="003C17A7" w:rsidRDefault="00230696" w:rsidP="00230696">
            <w:pPr>
              <w:contextualSpacing/>
              <w:jc w:val="center"/>
              <w:rPr>
                <w:i/>
              </w:rPr>
            </w:pPr>
            <w:r w:rsidRPr="003C17A7">
              <w:rPr>
                <w:i/>
              </w:rPr>
              <w:t>100%</w:t>
            </w:r>
          </w:p>
        </w:tc>
        <w:tc>
          <w:tcPr>
            <w:tcW w:w="18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0696" w:rsidRPr="003C17A7" w:rsidRDefault="00230696" w:rsidP="00230696">
            <w:pPr>
              <w:contextualSpacing/>
              <w:jc w:val="center"/>
              <w:rPr>
                <w:i/>
              </w:rPr>
            </w:pPr>
          </w:p>
          <w:p w:rsidR="00230696" w:rsidRPr="003C17A7" w:rsidRDefault="00230696" w:rsidP="00230696">
            <w:pPr>
              <w:contextualSpacing/>
              <w:jc w:val="center"/>
              <w:rPr>
                <w:i/>
              </w:rPr>
            </w:pPr>
            <w:r w:rsidRPr="003C17A7">
              <w:rPr>
                <w:i/>
              </w:rPr>
              <w:t>100%</w:t>
            </w:r>
          </w:p>
        </w:tc>
      </w:tr>
      <w:tr w:rsidR="00501AC5" w:rsidRPr="003C17A7" w:rsidTr="007C59CD">
        <w:tc>
          <w:tcPr>
            <w:tcW w:w="1969" w:type="dxa"/>
            <w:vMerge w:val="restart"/>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rPr>
                <w:b/>
                <w:i/>
              </w:rPr>
            </w:pPr>
            <w:r w:rsidRPr="003C17A7">
              <w:rPr>
                <w:b/>
                <w:i/>
              </w:rPr>
              <w:t>Personnel ne relevant  pas des  Article 4 et 4 Bis de la convention AGIRC du 14 mars 1947</w:t>
            </w:r>
          </w:p>
        </w:tc>
        <w:tc>
          <w:tcPr>
            <w:tcW w:w="796"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84%</w:t>
            </w:r>
          </w:p>
        </w:tc>
        <w:tc>
          <w:tcPr>
            <w:tcW w:w="734"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16%</w:t>
            </w:r>
          </w:p>
        </w:tc>
        <w:tc>
          <w:tcPr>
            <w:tcW w:w="821"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60%</w:t>
            </w:r>
          </w:p>
        </w:tc>
        <w:tc>
          <w:tcPr>
            <w:tcW w:w="810" w:type="dxa"/>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rPr>
                <w:i/>
              </w:rPr>
            </w:pPr>
            <w:r w:rsidRPr="003C17A7">
              <w:rPr>
                <w:i/>
              </w:rPr>
              <w:t>40%</w:t>
            </w:r>
          </w:p>
        </w:tc>
        <w:tc>
          <w:tcPr>
            <w:tcW w:w="846" w:type="dxa"/>
            <w:tcBorders>
              <w:top w:val="single" w:sz="4" w:space="0" w:color="auto"/>
              <w:left w:val="single" w:sz="4" w:space="0" w:color="auto"/>
              <w:bottom w:val="single" w:sz="4" w:space="0" w:color="auto"/>
              <w:right w:val="single" w:sz="4" w:space="0" w:color="auto"/>
            </w:tcBorders>
            <w:hideMark/>
          </w:tcPr>
          <w:p w:rsidR="00230696" w:rsidRPr="003C17A7" w:rsidRDefault="006B369D" w:rsidP="00230696">
            <w:pPr>
              <w:contextualSpacing/>
              <w:jc w:val="center"/>
              <w:rPr>
                <w:i/>
              </w:rPr>
            </w:pPr>
            <w:r w:rsidRPr="003C17A7">
              <w:rPr>
                <w:i/>
              </w:rPr>
              <w:t>6</w:t>
            </w:r>
            <w:r w:rsidR="00230696" w:rsidRPr="003C17A7">
              <w:rPr>
                <w:i/>
              </w:rPr>
              <w:t>0%</w:t>
            </w:r>
          </w:p>
        </w:tc>
        <w:tc>
          <w:tcPr>
            <w:tcW w:w="850" w:type="dxa"/>
            <w:tcBorders>
              <w:top w:val="single" w:sz="4" w:space="0" w:color="auto"/>
              <w:left w:val="single" w:sz="4" w:space="0" w:color="auto"/>
              <w:bottom w:val="single" w:sz="4" w:space="0" w:color="auto"/>
              <w:right w:val="single" w:sz="4" w:space="0" w:color="auto"/>
            </w:tcBorders>
            <w:hideMark/>
          </w:tcPr>
          <w:p w:rsidR="00230696" w:rsidRPr="003C17A7" w:rsidRDefault="006B369D" w:rsidP="00230696">
            <w:pPr>
              <w:contextualSpacing/>
              <w:jc w:val="center"/>
              <w:rPr>
                <w:i/>
              </w:rPr>
            </w:pPr>
            <w:r w:rsidRPr="003C17A7">
              <w:rPr>
                <w:i/>
              </w:rPr>
              <w:t>4</w:t>
            </w:r>
            <w:r w:rsidR="00230696" w:rsidRPr="003C17A7">
              <w:rPr>
                <w:i/>
              </w:rPr>
              <w:t>0%</w:t>
            </w:r>
          </w:p>
        </w:tc>
        <w:tc>
          <w:tcPr>
            <w:tcW w:w="846" w:type="dxa"/>
            <w:tcBorders>
              <w:top w:val="single" w:sz="4" w:space="0" w:color="auto"/>
              <w:left w:val="single" w:sz="4" w:space="0" w:color="auto"/>
              <w:bottom w:val="single" w:sz="4" w:space="0" w:color="auto"/>
              <w:right w:val="single" w:sz="4" w:space="0" w:color="auto"/>
            </w:tcBorders>
          </w:tcPr>
          <w:p w:rsidR="00230696" w:rsidRPr="003C17A7" w:rsidRDefault="00230696" w:rsidP="00230696">
            <w:pPr>
              <w:contextualSpacing/>
              <w:jc w:val="center"/>
              <w:rPr>
                <w:i/>
              </w:rPr>
            </w:pPr>
            <w:r w:rsidRPr="003C17A7">
              <w:rPr>
                <w:i/>
              </w:rPr>
              <w:t>100%</w:t>
            </w:r>
          </w:p>
        </w:tc>
        <w:tc>
          <w:tcPr>
            <w:tcW w:w="987" w:type="dxa"/>
            <w:tcBorders>
              <w:top w:val="single" w:sz="4" w:space="0" w:color="auto"/>
              <w:left w:val="single" w:sz="4" w:space="0" w:color="auto"/>
              <w:bottom w:val="single" w:sz="4" w:space="0" w:color="auto"/>
              <w:right w:val="single" w:sz="4" w:space="0" w:color="auto"/>
            </w:tcBorders>
          </w:tcPr>
          <w:p w:rsidR="00230696" w:rsidRPr="003C17A7" w:rsidRDefault="00230696" w:rsidP="00230696">
            <w:pPr>
              <w:contextualSpacing/>
              <w:jc w:val="center"/>
              <w:rPr>
                <w:i/>
              </w:rPr>
            </w:pPr>
            <w:r w:rsidRPr="003C17A7">
              <w:rPr>
                <w:i/>
              </w:rPr>
              <w:t>0%</w:t>
            </w:r>
          </w:p>
        </w:tc>
      </w:tr>
      <w:tr w:rsidR="00501AC5" w:rsidRPr="003C17A7" w:rsidTr="007C59CD">
        <w:tc>
          <w:tcPr>
            <w:tcW w:w="1969" w:type="dxa"/>
            <w:vMerge/>
            <w:tcBorders>
              <w:top w:val="single" w:sz="4" w:space="0" w:color="auto"/>
              <w:left w:val="single" w:sz="4" w:space="0" w:color="auto"/>
              <w:bottom w:val="single" w:sz="4" w:space="0" w:color="auto"/>
              <w:right w:val="single" w:sz="4" w:space="0" w:color="auto"/>
            </w:tcBorders>
            <w:vAlign w:val="center"/>
            <w:hideMark/>
          </w:tcPr>
          <w:p w:rsidR="00230696" w:rsidRPr="003C17A7" w:rsidRDefault="00230696" w:rsidP="00230696">
            <w:pPr>
              <w:rPr>
                <w:b/>
                <w:i/>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0696" w:rsidRPr="003C17A7" w:rsidRDefault="00230696" w:rsidP="00230696">
            <w:pPr>
              <w:contextualSpacing/>
              <w:jc w:val="center"/>
            </w:pPr>
          </w:p>
          <w:p w:rsidR="00230696" w:rsidRPr="003C17A7" w:rsidRDefault="00230696" w:rsidP="00230696">
            <w:pPr>
              <w:contextualSpacing/>
              <w:jc w:val="center"/>
            </w:pPr>
            <w:r w:rsidRPr="003C17A7">
              <w:t>100%</w:t>
            </w:r>
          </w:p>
        </w:tc>
        <w:tc>
          <w:tcPr>
            <w:tcW w:w="1631" w:type="dxa"/>
            <w:gridSpan w:val="2"/>
            <w:tcBorders>
              <w:top w:val="nil"/>
              <w:left w:val="single" w:sz="4" w:space="0" w:color="auto"/>
              <w:bottom w:val="single" w:sz="4" w:space="0" w:color="auto"/>
              <w:right w:val="single" w:sz="4" w:space="0" w:color="auto"/>
            </w:tcBorders>
            <w:shd w:val="clear" w:color="auto" w:fill="F2F2F2" w:themeFill="background1" w:themeFillShade="F2"/>
            <w:hideMark/>
          </w:tcPr>
          <w:p w:rsidR="00230696" w:rsidRPr="003C17A7" w:rsidRDefault="00230696" w:rsidP="00230696">
            <w:pPr>
              <w:contextualSpacing/>
              <w:jc w:val="center"/>
            </w:pPr>
          </w:p>
          <w:p w:rsidR="00230696" w:rsidRPr="003C17A7" w:rsidRDefault="00230696" w:rsidP="00230696">
            <w:pPr>
              <w:contextualSpacing/>
              <w:jc w:val="center"/>
            </w:pPr>
            <w:r w:rsidRPr="003C17A7">
              <w:t>100%</w:t>
            </w:r>
          </w:p>
        </w:tc>
        <w:tc>
          <w:tcPr>
            <w:tcW w:w="1696" w:type="dxa"/>
            <w:gridSpan w:val="2"/>
            <w:tcBorders>
              <w:top w:val="single" w:sz="4" w:space="0" w:color="auto"/>
              <w:left w:val="single" w:sz="4" w:space="0" w:color="auto"/>
              <w:bottom w:val="single" w:sz="4" w:space="0" w:color="auto"/>
              <w:right w:val="single" w:sz="4" w:space="0" w:color="auto"/>
            </w:tcBorders>
            <w:hideMark/>
          </w:tcPr>
          <w:p w:rsidR="00230696" w:rsidRPr="003C17A7" w:rsidRDefault="00230696" w:rsidP="00230696">
            <w:pPr>
              <w:contextualSpacing/>
              <w:jc w:val="center"/>
            </w:pPr>
          </w:p>
          <w:p w:rsidR="00230696" w:rsidRPr="003C17A7" w:rsidRDefault="006B369D" w:rsidP="00230696">
            <w:pPr>
              <w:contextualSpacing/>
              <w:jc w:val="center"/>
            </w:pPr>
            <w:r w:rsidRPr="003C17A7">
              <w:t>10</w:t>
            </w:r>
            <w:r w:rsidR="00230696" w:rsidRPr="003C17A7">
              <w:t>0%</w:t>
            </w:r>
          </w:p>
        </w:tc>
        <w:tc>
          <w:tcPr>
            <w:tcW w:w="1833" w:type="dxa"/>
            <w:gridSpan w:val="2"/>
            <w:tcBorders>
              <w:top w:val="single" w:sz="4" w:space="0" w:color="auto"/>
              <w:left w:val="single" w:sz="4" w:space="0" w:color="auto"/>
              <w:bottom w:val="single" w:sz="4" w:space="0" w:color="auto"/>
              <w:right w:val="single" w:sz="4" w:space="0" w:color="auto"/>
            </w:tcBorders>
          </w:tcPr>
          <w:p w:rsidR="00230696" w:rsidRPr="003C17A7" w:rsidRDefault="00230696" w:rsidP="00230696">
            <w:pPr>
              <w:contextualSpacing/>
              <w:jc w:val="center"/>
            </w:pPr>
          </w:p>
          <w:p w:rsidR="00230696" w:rsidRPr="003C17A7" w:rsidRDefault="00230696" w:rsidP="00230696">
            <w:pPr>
              <w:contextualSpacing/>
              <w:jc w:val="center"/>
            </w:pPr>
            <w:r w:rsidRPr="003C17A7">
              <w:t>100%</w:t>
            </w:r>
          </w:p>
        </w:tc>
      </w:tr>
    </w:tbl>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b/>
        </w:rPr>
      </w:pPr>
      <w:r w:rsidRPr="003C17A7">
        <w:rPr>
          <w:rFonts w:ascii="Calibri" w:eastAsia="Calibri" w:hAnsi="Calibri" w:cs="Times New Roman"/>
          <w:b/>
          <w:u w:val="single"/>
        </w:rPr>
        <w:t>ARTICLE 5</w:t>
      </w:r>
      <w:r w:rsidRPr="003C17A7">
        <w:rPr>
          <w:rFonts w:ascii="Calibri" w:eastAsia="Calibri" w:hAnsi="Calibri" w:cs="Times New Roman"/>
          <w:b/>
        </w:rPr>
        <w:tab/>
      </w:r>
      <w:r w:rsidRPr="003C17A7">
        <w:rPr>
          <w:rFonts w:ascii="Calibri" w:eastAsia="Calibri" w:hAnsi="Calibri" w:cs="Times New Roman"/>
          <w:b/>
          <w:u w:val="single"/>
        </w:rPr>
        <w:t>CARACTERE OBLIGATOIRE DE L’ADHESION</w:t>
      </w:r>
    </w:p>
    <w:p w:rsidR="00230696" w:rsidRPr="003C17A7" w:rsidRDefault="00230696" w:rsidP="00230696">
      <w:pPr>
        <w:spacing w:after="0" w:line="240" w:lineRule="auto"/>
        <w:jc w:val="both"/>
        <w:rPr>
          <w:rFonts w:ascii="Calibri" w:eastAsia="Calibri" w:hAnsi="Calibri" w:cs="Times New Roman"/>
        </w:rPr>
      </w:pPr>
    </w:p>
    <w:p w:rsidR="00230696" w:rsidRPr="003C17A7" w:rsidRDefault="00230696" w:rsidP="00230696">
      <w:pPr>
        <w:spacing w:after="0" w:line="240" w:lineRule="auto"/>
        <w:jc w:val="both"/>
        <w:rPr>
          <w:rFonts w:ascii="Calibri" w:eastAsia="Calibri" w:hAnsi="Calibri" w:cs="Times New Roman"/>
        </w:rPr>
      </w:pPr>
      <w:r w:rsidRPr="003C17A7">
        <w:rPr>
          <w:rFonts w:ascii="Calibri" w:eastAsia="Calibri" w:hAnsi="Calibri" w:cs="Times New Roman"/>
        </w:rPr>
        <w:t>Le présent article modifie l’article 4.2 « caractère obligatoire du système de garantie »</w:t>
      </w:r>
      <w:r w:rsidR="0070594C" w:rsidRPr="003C17A7">
        <w:rPr>
          <w:rFonts w:ascii="Calibri" w:eastAsia="Calibri" w:hAnsi="Calibri" w:cs="Times New Roman"/>
        </w:rPr>
        <w:t xml:space="preserve"> de l’accord susmentionné du 2 octobre 2006</w:t>
      </w:r>
      <w:r w:rsidR="00FD5798" w:rsidRPr="003C17A7">
        <w:rPr>
          <w:rFonts w:ascii="Calibri" w:eastAsia="Calibri" w:hAnsi="Calibri" w:cs="Times New Roman"/>
        </w:rPr>
        <w:t xml:space="preserve">. Celui-ci est désormais rédigé de la manière suivante : </w:t>
      </w:r>
    </w:p>
    <w:p w:rsidR="00FD5798" w:rsidRPr="003C17A7" w:rsidRDefault="00FD5798" w:rsidP="00230696">
      <w:pPr>
        <w:spacing w:after="0" w:line="240" w:lineRule="auto"/>
        <w:jc w:val="both"/>
        <w:rPr>
          <w:rFonts w:ascii="Calibri" w:eastAsia="Calibri" w:hAnsi="Calibri" w:cs="Times New Roman"/>
        </w:rPr>
      </w:pPr>
    </w:p>
    <w:p w:rsidR="00230696" w:rsidRPr="003C17A7" w:rsidRDefault="00230696" w:rsidP="00230696">
      <w:pPr>
        <w:spacing w:after="0" w:line="240" w:lineRule="auto"/>
        <w:jc w:val="both"/>
        <w:rPr>
          <w:rFonts w:ascii="Calibri" w:eastAsia="Calibri" w:hAnsi="Calibri" w:cs="Times New Roman"/>
          <w:i/>
        </w:rPr>
      </w:pPr>
      <w:r w:rsidRPr="003C17A7">
        <w:rPr>
          <w:rFonts w:ascii="Calibri" w:eastAsia="Calibri" w:hAnsi="Calibri" w:cs="Times New Roman"/>
        </w:rPr>
        <w:t>« </w:t>
      </w:r>
      <w:r w:rsidRPr="003C17A7">
        <w:rPr>
          <w:rFonts w:ascii="Calibri" w:eastAsia="Calibri" w:hAnsi="Calibri" w:cs="Times New Roman"/>
          <w:i/>
        </w:rPr>
        <w:t>L'adhésion est obligatoire. Elle résulte de la signature du présent accord par les organisations syndicales représentatives des salariés au niveau de l’UES CAPGEMINI. Elle s'impose donc dans les relations individuelles de travail et les salariés concernés ne pourront s'opposer au précompte de leur quote-part de cotisations.</w:t>
      </w:r>
    </w:p>
    <w:p w:rsidR="00230696" w:rsidRPr="003C17A7" w:rsidRDefault="00230696" w:rsidP="00230696">
      <w:pPr>
        <w:spacing w:after="0" w:line="240" w:lineRule="auto"/>
        <w:jc w:val="both"/>
        <w:rPr>
          <w:rFonts w:ascii="Calibri" w:eastAsia="Calibri" w:hAnsi="Calibri" w:cs="Times New Roman"/>
          <w:i/>
        </w:rPr>
      </w:pPr>
    </w:p>
    <w:p w:rsidR="00230696" w:rsidRPr="003C17A7" w:rsidRDefault="00230696" w:rsidP="00230696">
      <w:pPr>
        <w:spacing w:after="0" w:line="240" w:lineRule="auto"/>
        <w:jc w:val="both"/>
        <w:rPr>
          <w:rFonts w:ascii="Calibri" w:eastAsia="Calibri" w:hAnsi="Calibri" w:cs="Times New Roman"/>
        </w:rPr>
      </w:pPr>
      <w:r w:rsidRPr="003C17A7">
        <w:rPr>
          <w:rFonts w:ascii="Calibri" w:eastAsia="Calibri" w:hAnsi="Calibri" w:cs="Times New Roman"/>
          <w:i/>
        </w:rPr>
        <w:t xml:space="preserve">Aucune dispense d’adhésion ne peut être sollicitée par les salariés, hormis  les dispenses d’adhésion  de plein droit (Cf. Articles D.911-2 et suivants Code de la Sécurité Sociale) ». </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rPr>
          <w:rFonts w:ascii="Calibri" w:eastAsia="Calibri" w:hAnsi="Calibri" w:cs="Times New Roman"/>
          <w:b/>
          <w:u w:val="single"/>
        </w:rPr>
      </w:pPr>
      <w:r w:rsidRPr="003C17A7">
        <w:rPr>
          <w:rFonts w:ascii="Calibri" w:eastAsia="Calibri" w:hAnsi="Calibri" w:cs="Times New Roman"/>
          <w:b/>
          <w:u w:val="single"/>
        </w:rPr>
        <w:t>ARTICLE 6</w:t>
      </w:r>
      <w:r w:rsidRPr="003C17A7">
        <w:rPr>
          <w:rFonts w:ascii="Calibri" w:eastAsia="Calibri" w:hAnsi="Calibri" w:cs="Times New Roman"/>
          <w:b/>
        </w:rPr>
        <w:tab/>
      </w:r>
      <w:r w:rsidRPr="003C17A7">
        <w:rPr>
          <w:rFonts w:ascii="Calibri" w:eastAsia="Calibri" w:hAnsi="Calibri" w:cs="Times New Roman"/>
          <w:b/>
          <w:u w:val="single"/>
        </w:rPr>
        <w:t>EVOLUTION DE LA COTISATION</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63163C"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Le présent article modifie l</w:t>
      </w:r>
      <w:r w:rsidR="00230696" w:rsidRPr="003C17A7">
        <w:rPr>
          <w:rFonts w:ascii="Calibri" w:eastAsia="Calibri" w:hAnsi="Calibri" w:cs="Times New Roman"/>
        </w:rPr>
        <w:t xml:space="preserve">’article 4.3 « évolution ultérieure de la cotisation » </w:t>
      </w:r>
      <w:r w:rsidR="0070594C" w:rsidRPr="003C17A7">
        <w:rPr>
          <w:rFonts w:ascii="Calibri" w:eastAsia="Calibri" w:hAnsi="Calibri" w:cs="Times New Roman"/>
        </w:rPr>
        <w:t>de l’accord susmentionné du 2 octobre 2006</w:t>
      </w:r>
      <w:r w:rsidRPr="003C17A7">
        <w:rPr>
          <w:rFonts w:ascii="Calibri" w:eastAsia="Calibri" w:hAnsi="Calibri" w:cs="Times New Roman"/>
        </w:rPr>
        <w:t>. Celui-ci est désormais rédigé de la manière</w:t>
      </w:r>
      <w:r w:rsidR="00230696" w:rsidRPr="003C17A7">
        <w:rPr>
          <w:rFonts w:ascii="Calibri" w:eastAsia="Calibri" w:hAnsi="Calibri" w:cs="Times New Roman"/>
        </w:rPr>
        <w:t xml:space="preserve"> : </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D42784" w:rsidP="00230696">
      <w:pPr>
        <w:spacing w:after="0" w:line="240" w:lineRule="auto"/>
        <w:contextualSpacing/>
        <w:jc w:val="both"/>
        <w:rPr>
          <w:rFonts w:ascii="Calibri" w:eastAsia="Calibri" w:hAnsi="Calibri" w:cs="Times New Roman"/>
          <w:i/>
        </w:rPr>
      </w:pPr>
      <w:r w:rsidRPr="003C17A7">
        <w:rPr>
          <w:rFonts w:ascii="Calibri" w:eastAsia="Calibri" w:hAnsi="Calibri" w:cs="Times New Roman"/>
          <w:i/>
        </w:rPr>
        <w:t>« </w:t>
      </w:r>
      <w:r w:rsidR="00230696" w:rsidRPr="003C17A7">
        <w:rPr>
          <w:rFonts w:ascii="Calibri" w:eastAsia="Calibri" w:hAnsi="Calibri" w:cs="Times New Roman"/>
          <w:i/>
        </w:rPr>
        <w:t xml:space="preserve">En cas d’augmentation des cotisations, issue des évolutions législatives ou règlementaires, les parties conviennent que l’entreprise prendra en charge cette augmentation selon le même pourcentage de participation patronale que celui prévu à l’article 4, sans qu’un avenant au présent accord soit nécessaire. </w:t>
      </w:r>
    </w:p>
    <w:p w:rsidR="00230696" w:rsidRPr="003C17A7" w:rsidRDefault="00230696" w:rsidP="00230696">
      <w:pPr>
        <w:spacing w:after="0" w:line="240" w:lineRule="auto"/>
        <w:contextualSpacing/>
        <w:jc w:val="both"/>
        <w:rPr>
          <w:rFonts w:ascii="Calibri" w:eastAsia="Calibri" w:hAnsi="Calibri" w:cs="Times New Roman"/>
          <w:i/>
        </w:rPr>
      </w:pPr>
    </w:p>
    <w:p w:rsidR="0082399E" w:rsidRPr="003C17A7" w:rsidRDefault="00230696" w:rsidP="0082399E">
      <w:pPr>
        <w:spacing w:after="0" w:line="240" w:lineRule="auto"/>
        <w:contextualSpacing/>
        <w:jc w:val="both"/>
        <w:rPr>
          <w:rFonts w:ascii="Calibri" w:eastAsia="Calibri" w:hAnsi="Calibri" w:cs="Times New Roman"/>
          <w:i/>
        </w:rPr>
      </w:pPr>
      <w:r w:rsidRPr="003C17A7">
        <w:rPr>
          <w:rFonts w:ascii="Calibri" w:eastAsia="Calibri" w:hAnsi="Calibri" w:cs="Times New Roman"/>
          <w:i/>
        </w:rPr>
        <w:t>Toute évolution de la cotisation sera examinée lors d’une réunion de la commission de suivi du régime</w:t>
      </w:r>
      <w:r w:rsidR="00D42784" w:rsidRPr="003C17A7">
        <w:rPr>
          <w:rFonts w:ascii="Calibri" w:eastAsia="Calibri" w:hAnsi="Calibri" w:cs="Times New Roman"/>
          <w:i/>
        </w:rPr>
        <w:t> »</w:t>
      </w:r>
      <w:r w:rsidRPr="003C17A7">
        <w:rPr>
          <w:rFonts w:ascii="Calibri" w:eastAsia="Calibri" w:hAnsi="Calibri" w:cs="Times New Roman"/>
          <w:i/>
        </w:rPr>
        <w:t xml:space="preserve">. </w:t>
      </w:r>
    </w:p>
    <w:p w:rsidR="0082399E" w:rsidRPr="003C17A7" w:rsidRDefault="0082399E" w:rsidP="0082399E">
      <w:pPr>
        <w:spacing w:after="0" w:line="240" w:lineRule="auto"/>
        <w:contextualSpacing/>
        <w:jc w:val="both"/>
        <w:rPr>
          <w:rFonts w:ascii="Calibri" w:eastAsia="Calibri" w:hAnsi="Calibri" w:cs="Times New Roman"/>
          <w:i/>
        </w:rPr>
      </w:pPr>
    </w:p>
    <w:p w:rsidR="00374C2B" w:rsidRPr="003C17A7" w:rsidRDefault="00374C2B" w:rsidP="0082399E">
      <w:pPr>
        <w:spacing w:after="0" w:line="240" w:lineRule="auto"/>
        <w:contextualSpacing/>
        <w:jc w:val="both"/>
        <w:rPr>
          <w:rFonts w:ascii="Calibri" w:eastAsia="Calibri" w:hAnsi="Calibri" w:cs="Times New Roman"/>
          <w:i/>
        </w:rPr>
      </w:pPr>
    </w:p>
    <w:p w:rsidR="00230696" w:rsidRPr="003C17A7" w:rsidRDefault="00230696" w:rsidP="0082399E">
      <w:pPr>
        <w:spacing w:after="0" w:line="240" w:lineRule="auto"/>
        <w:contextualSpacing/>
        <w:jc w:val="both"/>
        <w:rPr>
          <w:rFonts w:ascii="Calibri" w:eastAsia="Calibri" w:hAnsi="Calibri" w:cs="Times New Roman"/>
          <w:b/>
          <w:u w:val="single"/>
        </w:rPr>
      </w:pPr>
      <w:r w:rsidRPr="003C17A7">
        <w:rPr>
          <w:rFonts w:ascii="Calibri" w:eastAsia="Calibri" w:hAnsi="Calibri" w:cs="Times New Roman"/>
          <w:b/>
          <w:u w:val="single"/>
        </w:rPr>
        <w:lastRenderedPageBreak/>
        <w:t>ARTICLE 7</w:t>
      </w:r>
      <w:r w:rsidRPr="003C17A7">
        <w:rPr>
          <w:rFonts w:ascii="Calibri" w:eastAsia="Calibri" w:hAnsi="Calibri" w:cs="Times New Roman"/>
          <w:b/>
        </w:rPr>
        <w:tab/>
      </w:r>
      <w:r w:rsidRPr="003C17A7">
        <w:rPr>
          <w:rFonts w:ascii="Calibri" w:eastAsia="Calibri" w:hAnsi="Calibri" w:cs="Times New Roman"/>
          <w:b/>
          <w:u w:val="single"/>
        </w:rPr>
        <w:t>PRESTATIONS ET GARANTIES COLLECTIVES</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Le tableau listant les garanties et prestations collectives « frais de santé » annexé à l’accord susmentionné du 2 octobre 2006, est modifié de la manière suivante :</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p>
    <w:tbl>
      <w:tblPr>
        <w:tblStyle w:val="Grilledutableau1"/>
        <w:tblW w:w="9776" w:type="dxa"/>
        <w:tblInd w:w="10" w:type="dxa"/>
        <w:tblLook w:val="04A0" w:firstRow="1" w:lastRow="0" w:firstColumn="1" w:lastColumn="0" w:noHBand="0" w:noVBand="1"/>
      </w:tblPr>
      <w:tblGrid>
        <w:gridCol w:w="4962"/>
        <w:gridCol w:w="4814"/>
      </w:tblGrid>
      <w:tr w:rsidR="00230696" w:rsidRPr="003C17A7" w:rsidTr="0082399E">
        <w:trPr>
          <w:trHeight w:val="558"/>
        </w:trPr>
        <w:tc>
          <w:tcPr>
            <w:tcW w:w="4962" w:type="dxa"/>
            <w:tcBorders>
              <w:top w:val="nil"/>
              <w:left w:val="nil"/>
              <w:bottom w:val="nil"/>
            </w:tcBorders>
            <w:hideMark/>
          </w:tcPr>
          <w:p w:rsidR="00230696" w:rsidRPr="003C17A7" w:rsidRDefault="00230696" w:rsidP="00230696">
            <w:pPr>
              <w:rPr>
                <w:rFonts w:cs="Arial"/>
                <w:b/>
                <w:bCs/>
                <w:i/>
              </w:rPr>
            </w:pPr>
            <w:r w:rsidRPr="003C17A7">
              <w:rPr>
                <w:rFonts w:cs="Arial"/>
                <w:b/>
                <w:bCs/>
                <w:i/>
              </w:rPr>
              <w:t> </w:t>
            </w:r>
          </w:p>
        </w:tc>
        <w:tc>
          <w:tcPr>
            <w:tcW w:w="4814" w:type="dxa"/>
            <w:shd w:val="clear" w:color="auto" w:fill="BFBFBF" w:themeFill="background1" w:themeFillShade="BF"/>
            <w:hideMark/>
          </w:tcPr>
          <w:p w:rsidR="00230696" w:rsidRPr="003C17A7" w:rsidRDefault="00230696" w:rsidP="00230696">
            <w:pPr>
              <w:jc w:val="center"/>
              <w:rPr>
                <w:rFonts w:cs="Arial"/>
                <w:b/>
                <w:bCs/>
                <w:i/>
              </w:rPr>
            </w:pPr>
            <w:r w:rsidRPr="003C17A7">
              <w:rPr>
                <w:rFonts w:cs="Arial"/>
                <w:b/>
                <w:bCs/>
                <w:i/>
              </w:rPr>
              <w:t>Contrat Frais de Santé SOCLE CAPGEMINI</w:t>
            </w:r>
            <w:r w:rsidRPr="003C17A7">
              <w:rPr>
                <w:rFonts w:cs="Arial"/>
                <w:b/>
                <w:bCs/>
                <w:i/>
              </w:rPr>
              <w:br/>
              <w:t>en conformité contrat responsable et Syntec</w:t>
            </w:r>
          </w:p>
        </w:tc>
      </w:tr>
      <w:tr w:rsidR="00230696" w:rsidRPr="003C17A7" w:rsidTr="0082399E">
        <w:trPr>
          <w:trHeight w:val="275"/>
        </w:trPr>
        <w:tc>
          <w:tcPr>
            <w:tcW w:w="4962" w:type="dxa"/>
            <w:tcBorders>
              <w:top w:val="nil"/>
              <w:left w:val="nil"/>
            </w:tcBorders>
            <w:noWrap/>
            <w:hideMark/>
          </w:tcPr>
          <w:p w:rsidR="00230696" w:rsidRPr="003C17A7" w:rsidRDefault="00230696" w:rsidP="00230696">
            <w:pPr>
              <w:rPr>
                <w:rFonts w:cs="Arial"/>
                <w:i/>
              </w:rPr>
            </w:pPr>
            <w:r w:rsidRPr="003C17A7">
              <w:rPr>
                <w:rFonts w:cs="Arial"/>
                <w:i/>
              </w:rPr>
              <w:t> </w:t>
            </w:r>
          </w:p>
        </w:tc>
        <w:tc>
          <w:tcPr>
            <w:tcW w:w="4814" w:type="dxa"/>
            <w:shd w:val="clear" w:color="auto" w:fill="A6A6A6" w:themeFill="background1" w:themeFillShade="A6"/>
            <w:hideMark/>
          </w:tcPr>
          <w:p w:rsidR="00230696" w:rsidRPr="003C17A7" w:rsidRDefault="00230696" w:rsidP="00230696">
            <w:pPr>
              <w:jc w:val="center"/>
              <w:rPr>
                <w:rFonts w:cs="Arial"/>
                <w:i/>
              </w:rPr>
            </w:pPr>
            <w:r w:rsidRPr="003C17A7">
              <w:rPr>
                <w:rFonts w:cs="Arial"/>
                <w:i/>
              </w:rPr>
              <w:t>Garanties exprimées en complément</w:t>
            </w:r>
          </w:p>
          <w:p w:rsidR="00230696" w:rsidRPr="003C17A7" w:rsidRDefault="00230696" w:rsidP="00230696">
            <w:pPr>
              <w:jc w:val="center"/>
              <w:rPr>
                <w:rFonts w:cs="Arial"/>
                <w:i/>
              </w:rPr>
            </w:pPr>
            <w:r w:rsidRPr="003C17A7">
              <w:rPr>
                <w:rFonts w:cs="Arial"/>
                <w:i/>
              </w:rPr>
              <w:t xml:space="preserve"> de la Sécurité Sociale</w:t>
            </w:r>
          </w:p>
        </w:tc>
      </w:tr>
      <w:tr w:rsidR="00230696" w:rsidRPr="003C17A7" w:rsidTr="0082399E">
        <w:trPr>
          <w:trHeight w:val="690"/>
        </w:trPr>
        <w:tc>
          <w:tcPr>
            <w:tcW w:w="4962" w:type="dxa"/>
            <w:shd w:val="clear" w:color="auto" w:fill="A6A6A6" w:themeFill="background1" w:themeFillShade="A6"/>
            <w:noWrap/>
            <w:vAlign w:val="center"/>
            <w:hideMark/>
          </w:tcPr>
          <w:p w:rsidR="00230696" w:rsidRPr="003C17A7" w:rsidRDefault="00230696" w:rsidP="00230696">
            <w:pPr>
              <w:rPr>
                <w:rFonts w:cs="Arial"/>
                <w:b/>
                <w:bCs/>
                <w:i/>
              </w:rPr>
            </w:pPr>
            <w:r w:rsidRPr="003C17A7">
              <w:rPr>
                <w:rFonts w:cs="Arial"/>
                <w:b/>
                <w:bCs/>
                <w:i/>
              </w:rPr>
              <w:t>Frais d'hospitalisation médicale et chirurgicale</w:t>
            </w:r>
          </w:p>
        </w:tc>
        <w:tc>
          <w:tcPr>
            <w:tcW w:w="4814" w:type="dxa"/>
            <w:shd w:val="clear" w:color="auto" w:fill="A6A6A6" w:themeFill="background1" w:themeFillShade="A6"/>
            <w:vAlign w:val="center"/>
            <w:hideMark/>
          </w:tcPr>
          <w:p w:rsidR="00230696" w:rsidRPr="003C17A7" w:rsidRDefault="00230696" w:rsidP="00230696">
            <w:pPr>
              <w:jc w:val="center"/>
              <w:rPr>
                <w:rFonts w:cs="Arial"/>
                <w:b/>
                <w:bCs/>
                <w:i/>
              </w:rPr>
            </w:pPr>
            <w:r w:rsidRPr="003C17A7">
              <w:rPr>
                <w:rFonts w:cs="Arial"/>
                <w:b/>
                <w:bCs/>
                <w:i/>
              </w:rPr>
              <w:t>Frais d'hospitalisation médicale, chirurgicale, psychiatrique et obstétricale</w:t>
            </w:r>
          </w:p>
        </w:tc>
      </w:tr>
      <w:tr w:rsidR="00230696" w:rsidRPr="003C17A7" w:rsidTr="0082399E">
        <w:trPr>
          <w:trHeight w:val="841"/>
        </w:trPr>
        <w:tc>
          <w:tcPr>
            <w:tcW w:w="4962" w:type="dxa"/>
            <w:shd w:val="clear" w:color="auto" w:fill="auto"/>
            <w:noWrap/>
            <w:hideMark/>
          </w:tcPr>
          <w:p w:rsidR="00230696" w:rsidRPr="003C17A7" w:rsidRDefault="00230696" w:rsidP="00230696">
            <w:pPr>
              <w:rPr>
                <w:rFonts w:cs="Arial"/>
                <w:b/>
                <w:bCs/>
                <w:i/>
              </w:rPr>
            </w:pPr>
            <w:r w:rsidRPr="003C17A7">
              <w:rPr>
                <w:rFonts w:cs="Arial"/>
                <w:b/>
                <w:bCs/>
                <w:i/>
              </w:rPr>
              <w:t> </w:t>
            </w:r>
          </w:p>
        </w:tc>
        <w:tc>
          <w:tcPr>
            <w:tcW w:w="4814" w:type="dxa"/>
            <w:shd w:val="clear" w:color="auto" w:fill="auto"/>
            <w:hideMark/>
          </w:tcPr>
          <w:p w:rsidR="00230696" w:rsidRPr="003C17A7" w:rsidRDefault="00230696" w:rsidP="00230696">
            <w:pPr>
              <w:jc w:val="center"/>
              <w:rPr>
                <w:rFonts w:cs="Arial"/>
                <w:bCs/>
                <w:i/>
              </w:rPr>
            </w:pPr>
            <w:r w:rsidRPr="003C17A7">
              <w:rPr>
                <w:rFonts w:cs="Arial"/>
                <w:bCs/>
                <w:i/>
              </w:rPr>
              <w:t>L’indemnisation est limitée à 30 jours par année civile, s’agissant du séjour d’un enfant en maison à caractère sanitaire ou en maison de cure thermale</w:t>
            </w:r>
          </w:p>
        </w:tc>
      </w:tr>
      <w:tr w:rsidR="00230696" w:rsidRPr="003C17A7" w:rsidTr="0082399E">
        <w:trPr>
          <w:trHeight w:val="845"/>
        </w:trPr>
        <w:tc>
          <w:tcPr>
            <w:tcW w:w="4962" w:type="dxa"/>
            <w:noWrap/>
            <w:hideMark/>
          </w:tcPr>
          <w:p w:rsidR="00230696" w:rsidRPr="003C17A7" w:rsidRDefault="00230696" w:rsidP="00230696">
            <w:pPr>
              <w:rPr>
                <w:rFonts w:cs="Arial"/>
                <w:i/>
              </w:rPr>
            </w:pPr>
            <w:r w:rsidRPr="003C17A7">
              <w:rPr>
                <w:rFonts w:cs="Arial"/>
                <w:i/>
              </w:rPr>
              <w:t xml:space="preserve">Frais de séjour </w:t>
            </w:r>
          </w:p>
        </w:tc>
        <w:tc>
          <w:tcPr>
            <w:tcW w:w="4814" w:type="dxa"/>
            <w:hideMark/>
          </w:tcPr>
          <w:p w:rsidR="00230696" w:rsidRPr="003C17A7" w:rsidRDefault="00230696" w:rsidP="00230696">
            <w:pPr>
              <w:jc w:val="center"/>
              <w:rPr>
                <w:rFonts w:cs="Arial"/>
                <w:i/>
              </w:rPr>
            </w:pPr>
            <w:r w:rsidRPr="003C17A7">
              <w:rPr>
                <w:rFonts w:cs="Arial"/>
                <w:i/>
              </w:rPr>
              <w:t>100% FR - SS limité à 600% BR</w:t>
            </w:r>
            <w:r w:rsidRPr="003C17A7">
              <w:rPr>
                <w:rFonts w:cs="Arial"/>
                <w:i/>
              </w:rPr>
              <w:br/>
              <w:t xml:space="preserve">non conventionné : 50% FR </w:t>
            </w:r>
          </w:p>
          <w:p w:rsidR="00230696" w:rsidRPr="003C17A7" w:rsidRDefault="00230696" w:rsidP="00230696">
            <w:pPr>
              <w:jc w:val="center"/>
              <w:rPr>
                <w:rFonts w:cs="Arial"/>
                <w:i/>
              </w:rPr>
            </w:pPr>
            <w:r w:rsidRPr="003C17A7">
              <w:rPr>
                <w:rFonts w:cs="Arial"/>
                <w:i/>
              </w:rPr>
              <w:t>(dans la limite de 600% BR reconstituée)</w:t>
            </w:r>
          </w:p>
        </w:tc>
      </w:tr>
      <w:tr w:rsidR="00230696" w:rsidRPr="003C17A7" w:rsidTr="0082399E">
        <w:trPr>
          <w:trHeight w:val="422"/>
        </w:trPr>
        <w:tc>
          <w:tcPr>
            <w:tcW w:w="4962" w:type="dxa"/>
            <w:noWrap/>
            <w:hideMark/>
          </w:tcPr>
          <w:p w:rsidR="00230696" w:rsidRPr="003C17A7" w:rsidRDefault="00230696" w:rsidP="00230696">
            <w:pPr>
              <w:rPr>
                <w:rFonts w:cs="Arial"/>
                <w:i/>
              </w:rPr>
            </w:pPr>
            <w:r w:rsidRPr="003C17A7">
              <w:rPr>
                <w:rFonts w:cs="Arial"/>
                <w:i/>
              </w:rPr>
              <w:t>Honoraires - OPTAM</w:t>
            </w:r>
          </w:p>
        </w:tc>
        <w:tc>
          <w:tcPr>
            <w:tcW w:w="4814" w:type="dxa"/>
            <w:vAlign w:val="center"/>
            <w:hideMark/>
          </w:tcPr>
          <w:p w:rsidR="00230696" w:rsidRPr="003C17A7" w:rsidRDefault="00230696" w:rsidP="00230696">
            <w:pPr>
              <w:jc w:val="center"/>
              <w:rPr>
                <w:rFonts w:cs="Arial"/>
                <w:bCs/>
                <w:i/>
              </w:rPr>
            </w:pPr>
            <w:r w:rsidRPr="003C17A7">
              <w:rPr>
                <w:rFonts w:cs="Arial"/>
                <w:bCs/>
                <w:i/>
              </w:rPr>
              <w:t>100% FR - SS limité à 600% BR</w:t>
            </w:r>
          </w:p>
        </w:tc>
      </w:tr>
      <w:tr w:rsidR="00230696" w:rsidRPr="003C17A7" w:rsidTr="0082399E">
        <w:trPr>
          <w:trHeight w:val="554"/>
        </w:trPr>
        <w:tc>
          <w:tcPr>
            <w:tcW w:w="4962" w:type="dxa"/>
            <w:noWrap/>
            <w:hideMark/>
          </w:tcPr>
          <w:p w:rsidR="00230696" w:rsidRPr="003C17A7" w:rsidRDefault="00230696" w:rsidP="00230696">
            <w:pPr>
              <w:rPr>
                <w:rFonts w:cs="Arial"/>
                <w:i/>
              </w:rPr>
            </w:pPr>
            <w:r w:rsidRPr="003C17A7">
              <w:rPr>
                <w:rFonts w:cs="Arial"/>
                <w:i/>
              </w:rPr>
              <w:t>Honoraires - Non OPTAM</w:t>
            </w:r>
          </w:p>
        </w:tc>
        <w:tc>
          <w:tcPr>
            <w:tcW w:w="4814" w:type="dxa"/>
            <w:shd w:val="clear" w:color="auto" w:fill="auto"/>
            <w:vAlign w:val="center"/>
            <w:hideMark/>
          </w:tcPr>
          <w:p w:rsidR="00230696" w:rsidRPr="003C17A7" w:rsidRDefault="00230696" w:rsidP="00230696">
            <w:pPr>
              <w:jc w:val="center"/>
              <w:rPr>
                <w:rFonts w:cs="Arial"/>
                <w:i/>
              </w:rPr>
            </w:pPr>
            <w:r w:rsidRPr="003C17A7">
              <w:rPr>
                <w:rFonts w:cs="Arial"/>
                <w:i/>
              </w:rPr>
              <w:t>100% TM + 100% BR</w:t>
            </w:r>
            <w:r w:rsidRPr="003C17A7">
              <w:rPr>
                <w:rFonts w:cs="Arial"/>
                <w:i/>
              </w:rPr>
              <w:br/>
              <w:t>y compris non conventionné</w:t>
            </w:r>
          </w:p>
        </w:tc>
      </w:tr>
      <w:tr w:rsidR="00230696" w:rsidRPr="003C17A7" w:rsidTr="0082399E">
        <w:trPr>
          <w:trHeight w:val="424"/>
        </w:trPr>
        <w:tc>
          <w:tcPr>
            <w:tcW w:w="4962" w:type="dxa"/>
            <w:noWrap/>
            <w:hideMark/>
          </w:tcPr>
          <w:p w:rsidR="00230696" w:rsidRPr="003C17A7" w:rsidRDefault="00230696" w:rsidP="00230696">
            <w:pPr>
              <w:rPr>
                <w:rFonts w:cs="Arial"/>
                <w:i/>
              </w:rPr>
            </w:pPr>
            <w:r w:rsidRPr="003C17A7">
              <w:rPr>
                <w:rFonts w:cs="Arial"/>
                <w:i/>
              </w:rPr>
              <w:t>Forfait journalier</w:t>
            </w:r>
          </w:p>
        </w:tc>
        <w:tc>
          <w:tcPr>
            <w:tcW w:w="4814" w:type="dxa"/>
            <w:vAlign w:val="center"/>
            <w:hideMark/>
          </w:tcPr>
          <w:p w:rsidR="00230696" w:rsidRPr="003C17A7" w:rsidRDefault="00230696" w:rsidP="00230696">
            <w:pPr>
              <w:jc w:val="center"/>
              <w:rPr>
                <w:rFonts w:cs="Arial"/>
                <w:i/>
              </w:rPr>
            </w:pPr>
            <w:r w:rsidRPr="003C17A7">
              <w:rPr>
                <w:rFonts w:cs="Arial"/>
                <w:i/>
              </w:rPr>
              <w:t>100% FR</w:t>
            </w:r>
          </w:p>
        </w:tc>
      </w:tr>
      <w:tr w:rsidR="00230696" w:rsidRPr="003C17A7" w:rsidTr="0082399E">
        <w:trPr>
          <w:trHeight w:val="268"/>
        </w:trPr>
        <w:tc>
          <w:tcPr>
            <w:tcW w:w="4962" w:type="dxa"/>
            <w:noWrap/>
            <w:hideMark/>
          </w:tcPr>
          <w:p w:rsidR="00230696" w:rsidRPr="003C17A7" w:rsidRDefault="00230696" w:rsidP="00230696">
            <w:pPr>
              <w:rPr>
                <w:rFonts w:cs="Arial"/>
                <w:i/>
              </w:rPr>
            </w:pPr>
            <w:r w:rsidRPr="003C17A7">
              <w:rPr>
                <w:rFonts w:cs="Arial"/>
                <w:i/>
              </w:rPr>
              <w:t>Chambre particulière</w:t>
            </w:r>
          </w:p>
        </w:tc>
        <w:tc>
          <w:tcPr>
            <w:tcW w:w="4814" w:type="dxa"/>
            <w:hideMark/>
          </w:tcPr>
          <w:p w:rsidR="00230696" w:rsidRPr="003C17A7" w:rsidRDefault="00230696" w:rsidP="00230696">
            <w:pPr>
              <w:jc w:val="center"/>
              <w:rPr>
                <w:rFonts w:cs="Arial"/>
                <w:i/>
              </w:rPr>
            </w:pPr>
            <w:r w:rsidRPr="003C17A7">
              <w:rPr>
                <w:rFonts w:cs="Arial"/>
                <w:i/>
              </w:rPr>
              <w:t>2.5% PMSS</w:t>
            </w:r>
          </w:p>
        </w:tc>
      </w:tr>
      <w:tr w:rsidR="00230696" w:rsidRPr="003C17A7" w:rsidTr="0082399E">
        <w:trPr>
          <w:trHeight w:val="258"/>
        </w:trPr>
        <w:tc>
          <w:tcPr>
            <w:tcW w:w="4962" w:type="dxa"/>
            <w:hideMark/>
          </w:tcPr>
          <w:p w:rsidR="00230696" w:rsidRPr="003C17A7" w:rsidRDefault="00230696" w:rsidP="00230696">
            <w:pPr>
              <w:rPr>
                <w:rFonts w:cs="Arial"/>
                <w:i/>
              </w:rPr>
            </w:pPr>
            <w:r w:rsidRPr="003C17A7">
              <w:rPr>
                <w:rFonts w:cs="Arial"/>
                <w:i/>
              </w:rPr>
              <w:t>Lit d'accompagnement (enfants -12ans)</w:t>
            </w:r>
          </w:p>
        </w:tc>
        <w:tc>
          <w:tcPr>
            <w:tcW w:w="4814" w:type="dxa"/>
            <w:hideMark/>
          </w:tcPr>
          <w:p w:rsidR="00230696" w:rsidRPr="003C17A7" w:rsidRDefault="00230696" w:rsidP="00230696">
            <w:pPr>
              <w:jc w:val="center"/>
              <w:rPr>
                <w:rFonts w:cs="Arial"/>
                <w:i/>
              </w:rPr>
            </w:pPr>
            <w:r w:rsidRPr="003C17A7">
              <w:rPr>
                <w:rFonts w:cs="Arial"/>
                <w:i/>
              </w:rPr>
              <w:t>1.5% PMSS</w:t>
            </w:r>
          </w:p>
        </w:tc>
      </w:tr>
      <w:tr w:rsidR="00230696" w:rsidRPr="003C17A7" w:rsidTr="0082399E">
        <w:trPr>
          <w:trHeight w:val="272"/>
        </w:trPr>
        <w:tc>
          <w:tcPr>
            <w:tcW w:w="4962" w:type="dxa"/>
            <w:shd w:val="clear" w:color="auto" w:fill="A6A6A6" w:themeFill="background1" w:themeFillShade="A6"/>
            <w:noWrap/>
            <w:vAlign w:val="center"/>
            <w:hideMark/>
          </w:tcPr>
          <w:p w:rsidR="00230696" w:rsidRPr="003C17A7" w:rsidRDefault="00230696" w:rsidP="00230696">
            <w:pPr>
              <w:rPr>
                <w:rFonts w:cs="Arial"/>
                <w:b/>
                <w:bCs/>
                <w:i/>
              </w:rPr>
            </w:pPr>
            <w:r w:rsidRPr="003C17A7">
              <w:rPr>
                <w:rFonts w:ascii="Calibri" w:eastAsia="Calibri" w:hAnsi="Calibri" w:cs="Times New Roman"/>
                <w:i/>
              </w:rPr>
              <w:br w:type="page"/>
            </w:r>
            <w:r w:rsidRPr="003C17A7">
              <w:rPr>
                <w:rFonts w:cs="Arial"/>
                <w:b/>
                <w:bCs/>
                <w:i/>
              </w:rPr>
              <w:t>Soins médicaux</w:t>
            </w:r>
          </w:p>
        </w:tc>
        <w:tc>
          <w:tcPr>
            <w:tcW w:w="4814" w:type="dxa"/>
            <w:shd w:val="clear" w:color="auto" w:fill="A6A6A6" w:themeFill="background1" w:themeFillShade="A6"/>
            <w:noWrap/>
            <w:hideMark/>
          </w:tcPr>
          <w:p w:rsidR="00230696" w:rsidRPr="003C17A7" w:rsidRDefault="00230696" w:rsidP="00230696">
            <w:pPr>
              <w:jc w:val="center"/>
              <w:rPr>
                <w:rFonts w:cs="Arial"/>
                <w:i/>
              </w:rPr>
            </w:pPr>
          </w:p>
        </w:tc>
      </w:tr>
      <w:tr w:rsidR="00230696" w:rsidRPr="003C17A7" w:rsidTr="0082399E">
        <w:trPr>
          <w:trHeight w:val="570"/>
        </w:trPr>
        <w:tc>
          <w:tcPr>
            <w:tcW w:w="4962" w:type="dxa"/>
            <w:hideMark/>
          </w:tcPr>
          <w:p w:rsidR="00230696" w:rsidRPr="003C17A7" w:rsidRDefault="00230696" w:rsidP="00230696">
            <w:pPr>
              <w:rPr>
                <w:rFonts w:cs="Arial"/>
                <w:i/>
              </w:rPr>
            </w:pPr>
            <w:r w:rsidRPr="003C17A7">
              <w:rPr>
                <w:rFonts w:cs="Arial"/>
                <w:i/>
              </w:rPr>
              <w:t>Consultations/Visites Généralistes et Spécialistes - OPTAM</w:t>
            </w:r>
          </w:p>
        </w:tc>
        <w:tc>
          <w:tcPr>
            <w:tcW w:w="4814" w:type="dxa"/>
            <w:vAlign w:val="center"/>
            <w:hideMark/>
          </w:tcPr>
          <w:p w:rsidR="00230696" w:rsidRPr="003C17A7" w:rsidRDefault="00230696" w:rsidP="00230696">
            <w:pPr>
              <w:jc w:val="center"/>
              <w:rPr>
                <w:rFonts w:cs="Arial"/>
                <w:i/>
              </w:rPr>
            </w:pPr>
            <w:r w:rsidRPr="003C17A7">
              <w:rPr>
                <w:rFonts w:cs="Arial"/>
                <w:i/>
              </w:rPr>
              <w:t>100% FR - SS maxi 150% BR</w:t>
            </w:r>
          </w:p>
        </w:tc>
      </w:tr>
      <w:tr w:rsidR="00230696" w:rsidRPr="003C17A7" w:rsidTr="0082399E">
        <w:trPr>
          <w:trHeight w:val="406"/>
        </w:trPr>
        <w:tc>
          <w:tcPr>
            <w:tcW w:w="4962" w:type="dxa"/>
            <w:hideMark/>
          </w:tcPr>
          <w:p w:rsidR="00230696" w:rsidRPr="003C17A7" w:rsidRDefault="00230696" w:rsidP="00230696">
            <w:pPr>
              <w:rPr>
                <w:rFonts w:cs="Arial"/>
                <w:i/>
              </w:rPr>
            </w:pPr>
            <w:r w:rsidRPr="003C17A7">
              <w:rPr>
                <w:rFonts w:cs="Arial"/>
                <w:i/>
              </w:rPr>
              <w:t>Consultations/Visites  Spécialistes -  OPTAM</w:t>
            </w:r>
          </w:p>
        </w:tc>
        <w:tc>
          <w:tcPr>
            <w:tcW w:w="4814" w:type="dxa"/>
            <w:vAlign w:val="center"/>
            <w:hideMark/>
          </w:tcPr>
          <w:p w:rsidR="00230696" w:rsidRPr="003C17A7" w:rsidRDefault="00230696" w:rsidP="00230696">
            <w:pPr>
              <w:jc w:val="center"/>
              <w:rPr>
                <w:rFonts w:cs="Arial"/>
                <w:i/>
              </w:rPr>
            </w:pPr>
            <w:r w:rsidRPr="003C17A7">
              <w:rPr>
                <w:rFonts w:cs="Arial"/>
                <w:i/>
              </w:rPr>
              <w:t>100% FR - SS maxi 200% BR</w:t>
            </w:r>
          </w:p>
        </w:tc>
      </w:tr>
      <w:tr w:rsidR="00230696" w:rsidRPr="003C17A7" w:rsidTr="0082399E">
        <w:trPr>
          <w:trHeight w:val="843"/>
        </w:trPr>
        <w:tc>
          <w:tcPr>
            <w:tcW w:w="4962" w:type="dxa"/>
            <w:shd w:val="clear" w:color="auto" w:fill="auto"/>
            <w:hideMark/>
          </w:tcPr>
          <w:p w:rsidR="00230696" w:rsidRPr="003C17A7" w:rsidRDefault="00230696" w:rsidP="00230696">
            <w:pPr>
              <w:rPr>
                <w:rFonts w:cs="Arial"/>
                <w:i/>
              </w:rPr>
            </w:pPr>
            <w:r w:rsidRPr="003C17A7">
              <w:rPr>
                <w:rFonts w:cs="Arial"/>
                <w:i/>
              </w:rPr>
              <w:t>Consultations/Visites Généralistes - Non</w:t>
            </w:r>
            <w:r w:rsidRPr="003C17A7">
              <w:rPr>
                <w:rFonts w:cs="Arial"/>
                <w:bCs/>
                <w:i/>
              </w:rPr>
              <w:t xml:space="preserve"> OPTAM</w:t>
            </w:r>
          </w:p>
        </w:tc>
        <w:tc>
          <w:tcPr>
            <w:tcW w:w="4814" w:type="dxa"/>
            <w:shd w:val="clear" w:color="auto" w:fill="auto"/>
            <w:vAlign w:val="center"/>
            <w:hideMark/>
          </w:tcPr>
          <w:p w:rsidR="00230696" w:rsidRPr="003C17A7" w:rsidRDefault="00230696" w:rsidP="00230696">
            <w:pPr>
              <w:jc w:val="center"/>
              <w:rPr>
                <w:rFonts w:cs="Arial"/>
                <w:i/>
              </w:rPr>
            </w:pPr>
            <w:r w:rsidRPr="003C17A7">
              <w:rPr>
                <w:rFonts w:cs="Arial"/>
                <w:i/>
              </w:rPr>
              <w:t>100% TM + 100% BR</w:t>
            </w:r>
          </w:p>
          <w:p w:rsidR="00230696" w:rsidRPr="003C17A7" w:rsidRDefault="00230696" w:rsidP="00230696">
            <w:pPr>
              <w:jc w:val="center"/>
              <w:rPr>
                <w:rFonts w:cs="Arial"/>
                <w:i/>
              </w:rPr>
            </w:pPr>
            <w:r w:rsidRPr="003C17A7">
              <w:rPr>
                <w:rFonts w:cs="Arial"/>
                <w:i/>
              </w:rPr>
              <w:t xml:space="preserve">non conventionné 50% FR </w:t>
            </w:r>
          </w:p>
          <w:p w:rsidR="00230696" w:rsidRPr="003C17A7" w:rsidRDefault="00230696" w:rsidP="00230696">
            <w:pPr>
              <w:jc w:val="center"/>
              <w:rPr>
                <w:rFonts w:cs="Arial"/>
                <w:i/>
              </w:rPr>
            </w:pPr>
            <w:r w:rsidRPr="003C17A7">
              <w:rPr>
                <w:rFonts w:cs="Arial"/>
                <w:i/>
              </w:rPr>
              <w:t>dans la limite de 130% BR</w:t>
            </w:r>
          </w:p>
        </w:tc>
      </w:tr>
      <w:tr w:rsidR="00230696" w:rsidRPr="003C17A7" w:rsidTr="0082399E">
        <w:trPr>
          <w:trHeight w:val="841"/>
        </w:trPr>
        <w:tc>
          <w:tcPr>
            <w:tcW w:w="4962" w:type="dxa"/>
            <w:shd w:val="clear" w:color="auto" w:fill="auto"/>
            <w:hideMark/>
          </w:tcPr>
          <w:p w:rsidR="00230696" w:rsidRPr="003C17A7" w:rsidRDefault="00230696" w:rsidP="00230696">
            <w:pPr>
              <w:rPr>
                <w:rFonts w:cs="Arial"/>
                <w:i/>
              </w:rPr>
            </w:pPr>
            <w:r w:rsidRPr="003C17A7">
              <w:rPr>
                <w:rFonts w:cs="Arial"/>
                <w:i/>
              </w:rPr>
              <w:t>Consultations/Visites  Spécialistes -  Non OPTAM</w:t>
            </w:r>
          </w:p>
        </w:tc>
        <w:tc>
          <w:tcPr>
            <w:tcW w:w="4814" w:type="dxa"/>
            <w:shd w:val="clear" w:color="auto" w:fill="auto"/>
            <w:vAlign w:val="center"/>
            <w:hideMark/>
          </w:tcPr>
          <w:p w:rsidR="00230696" w:rsidRPr="003C17A7" w:rsidRDefault="00230696" w:rsidP="00230696">
            <w:pPr>
              <w:jc w:val="center"/>
              <w:rPr>
                <w:rFonts w:cs="Arial"/>
                <w:i/>
              </w:rPr>
            </w:pPr>
            <w:r w:rsidRPr="003C17A7">
              <w:rPr>
                <w:rFonts w:cs="Arial"/>
                <w:i/>
              </w:rPr>
              <w:t>100% TM + 100% BR</w:t>
            </w:r>
          </w:p>
          <w:p w:rsidR="00230696" w:rsidRPr="003C17A7" w:rsidRDefault="00230696" w:rsidP="00230696">
            <w:pPr>
              <w:jc w:val="center"/>
              <w:rPr>
                <w:rFonts w:cs="Arial"/>
                <w:i/>
              </w:rPr>
            </w:pPr>
            <w:r w:rsidRPr="003C17A7">
              <w:rPr>
                <w:rFonts w:cs="Arial"/>
                <w:i/>
              </w:rPr>
              <w:t xml:space="preserve">non conventionné 50% FR </w:t>
            </w:r>
          </w:p>
          <w:p w:rsidR="00230696" w:rsidRPr="003C17A7" w:rsidRDefault="00230696" w:rsidP="00230696">
            <w:pPr>
              <w:jc w:val="center"/>
              <w:rPr>
                <w:rFonts w:cs="Arial"/>
                <w:i/>
              </w:rPr>
            </w:pPr>
            <w:r w:rsidRPr="003C17A7">
              <w:rPr>
                <w:rFonts w:cs="Arial"/>
                <w:i/>
              </w:rPr>
              <w:t>dans la limite de 130% BR</w:t>
            </w:r>
          </w:p>
        </w:tc>
      </w:tr>
      <w:tr w:rsidR="00230696" w:rsidRPr="003C17A7" w:rsidTr="0082399E">
        <w:trPr>
          <w:trHeight w:val="699"/>
        </w:trPr>
        <w:tc>
          <w:tcPr>
            <w:tcW w:w="4962" w:type="dxa"/>
            <w:shd w:val="clear" w:color="auto" w:fill="auto"/>
            <w:hideMark/>
          </w:tcPr>
          <w:p w:rsidR="00230696" w:rsidRPr="003C17A7" w:rsidRDefault="00230696" w:rsidP="00230696">
            <w:pPr>
              <w:rPr>
                <w:rFonts w:cs="Arial"/>
                <w:i/>
              </w:rPr>
            </w:pPr>
            <w:r w:rsidRPr="003C17A7">
              <w:rPr>
                <w:rFonts w:cs="Arial"/>
                <w:i/>
              </w:rPr>
              <w:t>Actes techniques - OPTAM</w:t>
            </w:r>
            <w:r w:rsidRPr="003C17A7">
              <w:rPr>
                <w:rFonts w:cs="Arial"/>
                <w:i/>
              </w:rPr>
              <w:br/>
              <w:t>Petite chirurgie -</w:t>
            </w:r>
            <w:r w:rsidRPr="003C17A7">
              <w:rPr>
                <w:rFonts w:cs="Arial"/>
                <w:bCs/>
                <w:i/>
              </w:rPr>
              <w:t xml:space="preserve"> OPTAM</w:t>
            </w:r>
          </w:p>
        </w:tc>
        <w:tc>
          <w:tcPr>
            <w:tcW w:w="4814" w:type="dxa"/>
            <w:shd w:val="clear" w:color="auto" w:fill="auto"/>
            <w:hideMark/>
          </w:tcPr>
          <w:p w:rsidR="00230696" w:rsidRPr="003C17A7" w:rsidRDefault="00230696" w:rsidP="00230696">
            <w:pPr>
              <w:jc w:val="center"/>
              <w:rPr>
                <w:rFonts w:cs="Arial"/>
                <w:i/>
              </w:rPr>
            </w:pPr>
            <w:r w:rsidRPr="003C17A7">
              <w:rPr>
                <w:rFonts w:cs="Arial"/>
                <w:i/>
              </w:rPr>
              <w:t>100% FR - SS dans la limite de :</w:t>
            </w:r>
            <w:r w:rsidRPr="003C17A7">
              <w:rPr>
                <w:rFonts w:cs="Arial"/>
                <w:i/>
              </w:rPr>
              <w:br/>
              <w:t>477% MRSS si actes pris en charge à 70%</w:t>
            </w:r>
            <w:r w:rsidRPr="003C17A7">
              <w:rPr>
                <w:rFonts w:cs="Arial"/>
                <w:i/>
              </w:rPr>
              <w:br/>
              <w:t>400% MRSS si actes pris en charge à 60%</w:t>
            </w:r>
          </w:p>
        </w:tc>
      </w:tr>
      <w:tr w:rsidR="00230696" w:rsidRPr="003C17A7" w:rsidTr="0082399E">
        <w:trPr>
          <w:trHeight w:val="494"/>
        </w:trPr>
        <w:tc>
          <w:tcPr>
            <w:tcW w:w="4962" w:type="dxa"/>
            <w:shd w:val="clear" w:color="auto" w:fill="auto"/>
            <w:hideMark/>
          </w:tcPr>
          <w:p w:rsidR="00230696" w:rsidRPr="003C17A7" w:rsidRDefault="00230696" w:rsidP="00230696">
            <w:pPr>
              <w:rPr>
                <w:rFonts w:cs="Arial"/>
                <w:i/>
              </w:rPr>
            </w:pPr>
            <w:r w:rsidRPr="003C17A7">
              <w:rPr>
                <w:rFonts w:cs="Arial"/>
                <w:i/>
              </w:rPr>
              <w:t xml:space="preserve">Actes techniques – </w:t>
            </w:r>
            <w:r w:rsidRPr="003C17A7">
              <w:rPr>
                <w:rFonts w:cs="Arial"/>
                <w:bCs/>
                <w:i/>
              </w:rPr>
              <w:t>Non OPTAM</w:t>
            </w:r>
            <w:r w:rsidRPr="003C17A7">
              <w:rPr>
                <w:rFonts w:cs="Arial"/>
                <w:i/>
              </w:rPr>
              <w:br/>
              <w:t xml:space="preserve">Petite chirurgie - </w:t>
            </w:r>
            <w:r w:rsidRPr="003C17A7">
              <w:rPr>
                <w:rFonts w:cs="Arial"/>
                <w:bCs/>
                <w:i/>
              </w:rPr>
              <w:t>Non OPTAM</w:t>
            </w:r>
          </w:p>
        </w:tc>
        <w:tc>
          <w:tcPr>
            <w:tcW w:w="4814" w:type="dxa"/>
            <w:shd w:val="clear" w:color="auto" w:fill="auto"/>
            <w:hideMark/>
          </w:tcPr>
          <w:p w:rsidR="00230696" w:rsidRPr="003C17A7" w:rsidRDefault="00230696" w:rsidP="00230696">
            <w:pPr>
              <w:jc w:val="center"/>
              <w:rPr>
                <w:rFonts w:cs="Arial"/>
                <w:i/>
              </w:rPr>
            </w:pPr>
            <w:r w:rsidRPr="003C17A7">
              <w:rPr>
                <w:rFonts w:cs="Arial"/>
                <w:i/>
              </w:rPr>
              <w:t>100% TM + 100% BR</w:t>
            </w:r>
            <w:r w:rsidRPr="003C17A7">
              <w:rPr>
                <w:rFonts w:cs="Arial"/>
                <w:i/>
              </w:rPr>
              <w:br/>
              <w:t>y compris non conventionné</w:t>
            </w:r>
          </w:p>
        </w:tc>
      </w:tr>
      <w:tr w:rsidR="00230696" w:rsidRPr="003C17A7" w:rsidTr="0082399E">
        <w:trPr>
          <w:trHeight w:val="841"/>
        </w:trPr>
        <w:tc>
          <w:tcPr>
            <w:tcW w:w="4962" w:type="dxa"/>
            <w:shd w:val="clear" w:color="auto" w:fill="auto"/>
            <w:hideMark/>
          </w:tcPr>
          <w:p w:rsidR="00230696" w:rsidRPr="003C17A7" w:rsidRDefault="00230696" w:rsidP="00230696">
            <w:pPr>
              <w:rPr>
                <w:rFonts w:cs="Arial"/>
                <w:i/>
              </w:rPr>
            </w:pPr>
            <w:r w:rsidRPr="003C17A7">
              <w:rPr>
                <w:rFonts w:cs="Arial"/>
                <w:i/>
              </w:rPr>
              <w:t>Auxiliaires médicaux</w:t>
            </w:r>
          </w:p>
        </w:tc>
        <w:tc>
          <w:tcPr>
            <w:tcW w:w="4814" w:type="dxa"/>
            <w:shd w:val="clear" w:color="auto" w:fill="auto"/>
            <w:hideMark/>
          </w:tcPr>
          <w:p w:rsidR="00230696" w:rsidRPr="003C17A7" w:rsidRDefault="00230696" w:rsidP="00230696">
            <w:pPr>
              <w:jc w:val="center"/>
              <w:rPr>
                <w:rFonts w:cs="Arial"/>
                <w:i/>
              </w:rPr>
            </w:pPr>
            <w:r w:rsidRPr="003C17A7">
              <w:rPr>
                <w:rFonts w:cs="Arial"/>
                <w:i/>
              </w:rPr>
              <w:t>100% FR - SS dans la limite de :</w:t>
            </w:r>
            <w:r w:rsidRPr="003C17A7">
              <w:rPr>
                <w:rFonts w:cs="Arial"/>
                <w:i/>
              </w:rPr>
              <w:br/>
              <w:t>477% MRSS si actes pris en charge à 70%</w:t>
            </w:r>
            <w:r w:rsidRPr="003C17A7">
              <w:rPr>
                <w:rFonts w:cs="Arial"/>
                <w:i/>
              </w:rPr>
              <w:br/>
              <w:t>400% MRSS si actes pris en charge à 60%</w:t>
            </w:r>
          </w:p>
        </w:tc>
      </w:tr>
      <w:tr w:rsidR="00230696" w:rsidRPr="003C17A7" w:rsidTr="0082399E">
        <w:trPr>
          <w:trHeight w:val="836"/>
        </w:trPr>
        <w:tc>
          <w:tcPr>
            <w:tcW w:w="4962" w:type="dxa"/>
            <w:shd w:val="clear" w:color="auto" w:fill="auto"/>
            <w:hideMark/>
          </w:tcPr>
          <w:p w:rsidR="00230696" w:rsidRPr="003C17A7" w:rsidRDefault="00230696" w:rsidP="00230696">
            <w:pPr>
              <w:rPr>
                <w:rFonts w:cs="Arial"/>
                <w:i/>
              </w:rPr>
            </w:pPr>
            <w:r w:rsidRPr="003C17A7">
              <w:rPr>
                <w:rFonts w:cs="Arial"/>
                <w:i/>
              </w:rPr>
              <w:t>Radiologie/imagerie</w:t>
            </w:r>
            <w:r w:rsidRPr="003C17A7">
              <w:rPr>
                <w:rFonts w:cs="Arial"/>
                <w:bCs/>
                <w:i/>
              </w:rPr>
              <w:t xml:space="preserve"> - OPTAM</w:t>
            </w:r>
          </w:p>
        </w:tc>
        <w:tc>
          <w:tcPr>
            <w:tcW w:w="4814" w:type="dxa"/>
            <w:shd w:val="clear" w:color="auto" w:fill="auto"/>
            <w:hideMark/>
          </w:tcPr>
          <w:p w:rsidR="00230696" w:rsidRPr="003C17A7" w:rsidRDefault="00230696" w:rsidP="00230696">
            <w:pPr>
              <w:jc w:val="center"/>
              <w:rPr>
                <w:rFonts w:cs="Arial"/>
                <w:i/>
              </w:rPr>
            </w:pPr>
            <w:r w:rsidRPr="003C17A7">
              <w:rPr>
                <w:rFonts w:cs="Arial"/>
                <w:i/>
              </w:rPr>
              <w:t>100% FR - SS dans la limite de :</w:t>
            </w:r>
            <w:r w:rsidRPr="003C17A7">
              <w:rPr>
                <w:rFonts w:cs="Arial"/>
                <w:i/>
              </w:rPr>
              <w:br/>
              <w:t xml:space="preserve"> 477% MRSS si actes pris en charge à 70%</w:t>
            </w:r>
            <w:r w:rsidRPr="003C17A7">
              <w:rPr>
                <w:rFonts w:cs="Arial"/>
                <w:i/>
              </w:rPr>
              <w:br/>
              <w:t>400% MRSS si actes pris en charge à 60%</w:t>
            </w:r>
          </w:p>
        </w:tc>
      </w:tr>
      <w:tr w:rsidR="00230696" w:rsidRPr="003C17A7" w:rsidTr="0082399E">
        <w:trPr>
          <w:trHeight w:val="551"/>
        </w:trPr>
        <w:tc>
          <w:tcPr>
            <w:tcW w:w="4962" w:type="dxa"/>
            <w:shd w:val="clear" w:color="auto" w:fill="auto"/>
            <w:vAlign w:val="center"/>
            <w:hideMark/>
          </w:tcPr>
          <w:p w:rsidR="00230696" w:rsidRPr="003C17A7" w:rsidRDefault="00230696" w:rsidP="00230696">
            <w:pPr>
              <w:rPr>
                <w:rFonts w:cs="Arial"/>
                <w:i/>
              </w:rPr>
            </w:pPr>
            <w:r w:rsidRPr="003C17A7">
              <w:rPr>
                <w:rFonts w:cs="Arial"/>
                <w:i/>
              </w:rPr>
              <w:t>Radiologie/imagerie</w:t>
            </w:r>
            <w:r w:rsidRPr="003C17A7">
              <w:rPr>
                <w:rFonts w:cs="Arial"/>
                <w:bCs/>
                <w:i/>
              </w:rPr>
              <w:t xml:space="preserve"> - Non OPTAM</w:t>
            </w:r>
          </w:p>
        </w:tc>
        <w:tc>
          <w:tcPr>
            <w:tcW w:w="4814" w:type="dxa"/>
            <w:shd w:val="clear" w:color="auto" w:fill="auto"/>
            <w:vAlign w:val="center"/>
            <w:hideMark/>
          </w:tcPr>
          <w:p w:rsidR="00230696" w:rsidRPr="003C17A7" w:rsidRDefault="00230696" w:rsidP="00230696">
            <w:pPr>
              <w:jc w:val="center"/>
              <w:rPr>
                <w:rFonts w:cs="Arial"/>
                <w:i/>
              </w:rPr>
            </w:pPr>
            <w:r w:rsidRPr="003C17A7">
              <w:rPr>
                <w:rFonts w:cs="Arial"/>
                <w:i/>
              </w:rPr>
              <w:t>100% TM + 100% BR</w:t>
            </w:r>
          </w:p>
          <w:p w:rsidR="00230696" w:rsidRPr="003C17A7" w:rsidRDefault="00230696" w:rsidP="00230696">
            <w:pPr>
              <w:jc w:val="center"/>
              <w:rPr>
                <w:rFonts w:cs="Arial"/>
                <w:i/>
              </w:rPr>
            </w:pPr>
            <w:r w:rsidRPr="003C17A7">
              <w:rPr>
                <w:rFonts w:cs="Arial"/>
                <w:i/>
              </w:rPr>
              <w:t>y compris non conventionné</w:t>
            </w:r>
          </w:p>
        </w:tc>
      </w:tr>
      <w:tr w:rsidR="00230696" w:rsidRPr="003C17A7" w:rsidTr="0082399E">
        <w:trPr>
          <w:trHeight w:val="270"/>
        </w:trPr>
        <w:tc>
          <w:tcPr>
            <w:tcW w:w="4962" w:type="dxa"/>
            <w:shd w:val="clear" w:color="auto" w:fill="auto"/>
            <w:hideMark/>
          </w:tcPr>
          <w:p w:rsidR="00230696" w:rsidRPr="003C17A7" w:rsidRDefault="00230696" w:rsidP="00230696">
            <w:pPr>
              <w:rPr>
                <w:rFonts w:cs="Arial"/>
                <w:i/>
              </w:rPr>
            </w:pPr>
            <w:r w:rsidRPr="003C17A7">
              <w:rPr>
                <w:rFonts w:cs="Arial"/>
                <w:i/>
              </w:rPr>
              <w:lastRenderedPageBreak/>
              <w:t>Analyses prises en charge SS</w:t>
            </w:r>
          </w:p>
        </w:tc>
        <w:tc>
          <w:tcPr>
            <w:tcW w:w="4814" w:type="dxa"/>
            <w:shd w:val="clear" w:color="auto" w:fill="auto"/>
            <w:hideMark/>
          </w:tcPr>
          <w:p w:rsidR="00230696" w:rsidRPr="003C17A7" w:rsidRDefault="00230696" w:rsidP="00230696">
            <w:pPr>
              <w:jc w:val="center"/>
              <w:rPr>
                <w:rFonts w:cs="Arial"/>
                <w:i/>
              </w:rPr>
            </w:pPr>
            <w:r w:rsidRPr="003C17A7">
              <w:rPr>
                <w:rFonts w:cs="Arial"/>
                <w:i/>
              </w:rPr>
              <w:t>100% FR - SS</w:t>
            </w:r>
          </w:p>
        </w:tc>
      </w:tr>
      <w:tr w:rsidR="00230696" w:rsidRPr="003C17A7" w:rsidTr="0082399E">
        <w:trPr>
          <w:trHeight w:val="268"/>
        </w:trPr>
        <w:tc>
          <w:tcPr>
            <w:tcW w:w="4962" w:type="dxa"/>
            <w:shd w:val="clear" w:color="auto" w:fill="auto"/>
            <w:noWrap/>
            <w:hideMark/>
          </w:tcPr>
          <w:p w:rsidR="00230696" w:rsidRPr="003C17A7" w:rsidRDefault="00230696" w:rsidP="00230696">
            <w:pPr>
              <w:rPr>
                <w:rFonts w:cs="Arial"/>
                <w:i/>
              </w:rPr>
            </w:pPr>
            <w:r w:rsidRPr="003C17A7">
              <w:rPr>
                <w:rFonts w:cs="Arial"/>
                <w:i/>
              </w:rPr>
              <w:t>Pharmacie</w:t>
            </w:r>
          </w:p>
        </w:tc>
        <w:tc>
          <w:tcPr>
            <w:tcW w:w="4814" w:type="dxa"/>
            <w:shd w:val="clear" w:color="auto" w:fill="auto"/>
            <w:noWrap/>
            <w:hideMark/>
          </w:tcPr>
          <w:p w:rsidR="00230696" w:rsidRPr="003C17A7" w:rsidRDefault="00230696" w:rsidP="00230696">
            <w:pPr>
              <w:jc w:val="center"/>
              <w:rPr>
                <w:rFonts w:cs="Arial"/>
                <w:i/>
              </w:rPr>
            </w:pPr>
            <w:r w:rsidRPr="003C17A7">
              <w:rPr>
                <w:rFonts w:cs="Arial"/>
                <w:i/>
              </w:rPr>
              <w:t>100% TM</w:t>
            </w:r>
          </w:p>
        </w:tc>
      </w:tr>
      <w:tr w:rsidR="00230696" w:rsidRPr="003C17A7" w:rsidTr="0082399E">
        <w:trPr>
          <w:trHeight w:val="286"/>
        </w:trPr>
        <w:tc>
          <w:tcPr>
            <w:tcW w:w="4962" w:type="dxa"/>
            <w:noWrap/>
            <w:hideMark/>
          </w:tcPr>
          <w:p w:rsidR="00230696" w:rsidRPr="003C17A7" w:rsidRDefault="00230696" w:rsidP="00230696">
            <w:pPr>
              <w:rPr>
                <w:rFonts w:cs="Arial"/>
                <w:i/>
              </w:rPr>
            </w:pPr>
            <w:r w:rsidRPr="003C17A7">
              <w:rPr>
                <w:rFonts w:cs="Arial"/>
                <w:i/>
              </w:rPr>
              <w:t>Transport</w:t>
            </w:r>
          </w:p>
        </w:tc>
        <w:tc>
          <w:tcPr>
            <w:tcW w:w="4814" w:type="dxa"/>
            <w:noWrap/>
            <w:hideMark/>
          </w:tcPr>
          <w:p w:rsidR="00230696" w:rsidRPr="003C17A7" w:rsidRDefault="00230696" w:rsidP="00230696">
            <w:pPr>
              <w:jc w:val="center"/>
              <w:rPr>
                <w:rFonts w:cs="Arial"/>
                <w:i/>
              </w:rPr>
            </w:pPr>
            <w:r w:rsidRPr="003C17A7">
              <w:rPr>
                <w:rFonts w:cs="Arial"/>
                <w:i/>
              </w:rPr>
              <w:t>100% TM</w:t>
            </w:r>
          </w:p>
        </w:tc>
      </w:tr>
      <w:tr w:rsidR="00230696" w:rsidRPr="003C17A7" w:rsidTr="0082399E">
        <w:trPr>
          <w:trHeight w:val="408"/>
        </w:trPr>
        <w:tc>
          <w:tcPr>
            <w:tcW w:w="4962" w:type="dxa"/>
            <w:shd w:val="clear" w:color="auto" w:fill="A6A6A6" w:themeFill="background1" w:themeFillShade="A6"/>
            <w:noWrap/>
            <w:vAlign w:val="center"/>
            <w:hideMark/>
          </w:tcPr>
          <w:p w:rsidR="00230696" w:rsidRPr="003C17A7" w:rsidRDefault="00230696" w:rsidP="00230696">
            <w:pPr>
              <w:rPr>
                <w:rFonts w:cs="Arial"/>
                <w:b/>
                <w:bCs/>
                <w:i/>
              </w:rPr>
            </w:pPr>
            <w:r w:rsidRPr="003C17A7">
              <w:rPr>
                <w:rFonts w:cs="Arial"/>
                <w:b/>
                <w:bCs/>
                <w:i/>
              </w:rPr>
              <w:t>Soins dentaires</w:t>
            </w:r>
          </w:p>
        </w:tc>
        <w:tc>
          <w:tcPr>
            <w:tcW w:w="4814" w:type="dxa"/>
            <w:shd w:val="clear" w:color="auto" w:fill="A6A6A6" w:themeFill="background1" w:themeFillShade="A6"/>
            <w:noWrap/>
            <w:vAlign w:val="center"/>
            <w:hideMark/>
          </w:tcPr>
          <w:p w:rsidR="00230696" w:rsidRPr="003C17A7" w:rsidRDefault="00230696" w:rsidP="00230696">
            <w:pPr>
              <w:rPr>
                <w:rFonts w:cs="Arial"/>
                <w:i/>
              </w:rPr>
            </w:pPr>
          </w:p>
        </w:tc>
      </w:tr>
      <w:tr w:rsidR="00230696" w:rsidRPr="003C17A7" w:rsidTr="0082399E">
        <w:trPr>
          <w:trHeight w:val="413"/>
        </w:trPr>
        <w:tc>
          <w:tcPr>
            <w:tcW w:w="4962" w:type="dxa"/>
            <w:noWrap/>
            <w:hideMark/>
          </w:tcPr>
          <w:p w:rsidR="00230696" w:rsidRPr="003C17A7" w:rsidRDefault="00230696" w:rsidP="00230696">
            <w:pPr>
              <w:rPr>
                <w:rFonts w:cs="Arial"/>
                <w:i/>
              </w:rPr>
            </w:pPr>
            <w:r w:rsidRPr="003C17A7">
              <w:rPr>
                <w:rFonts w:cs="Arial"/>
                <w:i/>
              </w:rPr>
              <w:t>Soins dentaires</w:t>
            </w:r>
          </w:p>
        </w:tc>
        <w:tc>
          <w:tcPr>
            <w:tcW w:w="4814" w:type="dxa"/>
            <w:vAlign w:val="center"/>
            <w:hideMark/>
          </w:tcPr>
          <w:p w:rsidR="00230696" w:rsidRPr="003C17A7" w:rsidRDefault="00230696" w:rsidP="00230696">
            <w:pPr>
              <w:jc w:val="center"/>
              <w:rPr>
                <w:rFonts w:cs="Arial"/>
                <w:i/>
              </w:rPr>
            </w:pPr>
            <w:r w:rsidRPr="003C17A7">
              <w:rPr>
                <w:rFonts w:cs="Arial"/>
                <w:i/>
              </w:rPr>
              <w:t>100% FR - SS limité à 300% BR</w:t>
            </w:r>
          </w:p>
        </w:tc>
      </w:tr>
      <w:tr w:rsidR="00230696" w:rsidRPr="003C17A7" w:rsidTr="0082399E">
        <w:trPr>
          <w:trHeight w:val="562"/>
        </w:trPr>
        <w:tc>
          <w:tcPr>
            <w:tcW w:w="4962" w:type="dxa"/>
            <w:hideMark/>
          </w:tcPr>
          <w:p w:rsidR="00230696" w:rsidRPr="003C17A7" w:rsidRDefault="00230696" w:rsidP="00230696">
            <w:pPr>
              <w:rPr>
                <w:rFonts w:cs="Arial"/>
                <w:i/>
              </w:rPr>
            </w:pPr>
            <w:r w:rsidRPr="003C17A7">
              <w:rPr>
                <w:rFonts w:cs="Arial"/>
                <w:i/>
              </w:rPr>
              <w:t>Prothèses dentaires prises en charge par la Sécurité Sociale</w:t>
            </w:r>
          </w:p>
        </w:tc>
        <w:tc>
          <w:tcPr>
            <w:tcW w:w="4814" w:type="dxa"/>
            <w:noWrap/>
            <w:vAlign w:val="center"/>
            <w:hideMark/>
          </w:tcPr>
          <w:p w:rsidR="00230696" w:rsidRPr="003C17A7" w:rsidRDefault="00230696" w:rsidP="00230696">
            <w:pPr>
              <w:jc w:val="center"/>
              <w:rPr>
                <w:rFonts w:cs="Arial"/>
                <w:i/>
              </w:rPr>
            </w:pPr>
            <w:r w:rsidRPr="003C17A7">
              <w:rPr>
                <w:rFonts w:cs="Arial"/>
                <w:i/>
              </w:rPr>
              <w:t>100% FR - SS limité à 350% BR</w:t>
            </w:r>
          </w:p>
        </w:tc>
      </w:tr>
      <w:tr w:rsidR="00230696" w:rsidRPr="003C17A7" w:rsidTr="0082399E">
        <w:trPr>
          <w:trHeight w:val="555"/>
        </w:trPr>
        <w:tc>
          <w:tcPr>
            <w:tcW w:w="4962" w:type="dxa"/>
            <w:hideMark/>
          </w:tcPr>
          <w:p w:rsidR="00230696" w:rsidRPr="003C17A7" w:rsidRDefault="00230696" w:rsidP="00230696">
            <w:pPr>
              <w:rPr>
                <w:rFonts w:cs="Arial"/>
                <w:i/>
              </w:rPr>
            </w:pPr>
            <w:r w:rsidRPr="003C17A7">
              <w:rPr>
                <w:rFonts w:cs="Arial"/>
                <w:i/>
              </w:rPr>
              <w:t>Prothèses dentaires non prises en charge par la Sécurité Sociale</w:t>
            </w:r>
          </w:p>
        </w:tc>
        <w:tc>
          <w:tcPr>
            <w:tcW w:w="4814" w:type="dxa"/>
            <w:vAlign w:val="center"/>
            <w:hideMark/>
          </w:tcPr>
          <w:p w:rsidR="00230696" w:rsidRPr="003C17A7" w:rsidRDefault="00230696" w:rsidP="00230696">
            <w:pPr>
              <w:jc w:val="center"/>
              <w:rPr>
                <w:rFonts w:cs="Arial"/>
                <w:i/>
              </w:rPr>
            </w:pPr>
            <w:r w:rsidRPr="003C17A7">
              <w:rPr>
                <w:rFonts w:cs="Arial"/>
                <w:i/>
              </w:rPr>
              <w:t xml:space="preserve">100% FR limité à 17% PMSS </w:t>
            </w:r>
          </w:p>
        </w:tc>
      </w:tr>
      <w:tr w:rsidR="00230696" w:rsidRPr="003C17A7" w:rsidTr="0082399E">
        <w:trPr>
          <w:trHeight w:val="408"/>
        </w:trPr>
        <w:tc>
          <w:tcPr>
            <w:tcW w:w="4962" w:type="dxa"/>
            <w:hideMark/>
          </w:tcPr>
          <w:p w:rsidR="00230696" w:rsidRPr="003C17A7" w:rsidRDefault="00230696" w:rsidP="00230696">
            <w:pPr>
              <w:rPr>
                <w:rFonts w:cs="Arial"/>
                <w:i/>
              </w:rPr>
            </w:pPr>
            <w:r w:rsidRPr="003C17A7">
              <w:rPr>
                <w:rFonts w:cs="Arial"/>
                <w:i/>
              </w:rPr>
              <w:t>Orthodontie prise en charge Sécurité Sociale</w:t>
            </w:r>
          </w:p>
        </w:tc>
        <w:tc>
          <w:tcPr>
            <w:tcW w:w="4814" w:type="dxa"/>
            <w:vAlign w:val="center"/>
            <w:hideMark/>
          </w:tcPr>
          <w:p w:rsidR="00230696" w:rsidRPr="003C17A7" w:rsidRDefault="00230696" w:rsidP="00230696">
            <w:pPr>
              <w:jc w:val="center"/>
              <w:rPr>
                <w:rFonts w:cs="Arial"/>
                <w:i/>
              </w:rPr>
            </w:pPr>
            <w:r w:rsidRPr="003C17A7">
              <w:rPr>
                <w:rFonts w:cs="Arial"/>
                <w:i/>
              </w:rPr>
              <w:t>300% BR</w:t>
            </w:r>
          </w:p>
        </w:tc>
      </w:tr>
      <w:tr w:rsidR="00230696" w:rsidRPr="003C17A7" w:rsidTr="0082399E">
        <w:trPr>
          <w:trHeight w:val="273"/>
        </w:trPr>
        <w:tc>
          <w:tcPr>
            <w:tcW w:w="4962" w:type="dxa"/>
            <w:noWrap/>
            <w:hideMark/>
          </w:tcPr>
          <w:p w:rsidR="00230696" w:rsidRPr="003C17A7" w:rsidRDefault="00230696" w:rsidP="00230696">
            <w:pPr>
              <w:rPr>
                <w:rFonts w:cs="Arial"/>
                <w:i/>
              </w:rPr>
            </w:pPr>
            <w:r w:rsidRPr="003C17A7">
              <w:rPr>
                <w:rFonts w:cs="Arial"/>
                <w:i/>
              </w:rPr>
              <w:t>Implantologie</w:t>
            </w:r>
          </w:p>
        </w:tc>
        <w:tc>
          <w:tcPr>
            <w:tcW w:w="4814" w:type="dxa"/>
            <w:hideMark/>
          </w:tcPr>
          <w:p w:rsidR="00230696" w:rsidRPr="003C17A7" w:rsidRDefault="00230696" w:rsidP="00230696">
            <w:pPr>
              <w:jc w:val="center"/>
              <w:rPr>
                <w:rFonts w:cs="Arial"/>
                <w:i/>
              </w:rPr>
            </w:pPr>
            <w:r w:rsidRPr="003C17A7">
              <w:rPr>
                <w:rFonts w:cs="Arial"/>
                <w:i/>
              </w:rPr>
              <w:t xml:space="preserve">100% FR limité à 17% PMSS </w:t>
            </w:r>
          </w:p>
        </w:tc>
      </w:tr>
      <w:tr w:rsidR="00230696" w:rsidRPr="003C17A7" w:rsidTr="0082399E">
        <w:trPr>
          <w:trHeight w:val="277"/>
        </w:trPr>
        <w:tc>
          <w:tcPr>
            <w:tcW w:w="4962" w:type="dxa"/>
            <w:noWrap/>
            <w:hideMark/>
          </w:tcPr>
          <w:p w:rsidR="00230696" w:rsidRPr="003C17A7" w:rsidRDefault="00230696" w:rsidP="00230696">
            <w:pPr>
              <w:rPr>
                <w:rFonts w:cs="Arial"/>
                <w:i/>
              </w:rPr>
            </w:pPr>
            <w:r w:rsidRPr="003C17A7">
              <w:rPr>
                <w:rFonts w:cs="Arial"/>
                <w:i/>
              </w:rPr>
              <w:t xml:space="preserve">Pilier de bridge sur dent saine </w:t>
            </w:r>
          </w:p>
        </w:tc>
        <w:tc>
          <w:tcPr>
            <w:tcW w:w="4814" w:type="dxa"/>
            <w:hideMark/>
          </w:tcPr>
          <w:p w:rsidR="00230696" w:rsidRPr="003C17A7" w:rsidRDefault="00230696" w:rsidP="00230696">
            <w:pPr>
              <w:jc w:val="center"/>
              <w:rPr>
                <w:rFonts w:cs="Arial"/>
                <w:i/>
              </w:rPr>
            </w:pPr>
            <w:r w:rsidRPr="003C17A7">
              <w:rPr>
                <w:rFonts w:cs="Arial"/>
                <w:i/>
              </w:rPr>
              <w:t xml:space="preserve">100% FR limité à 17% PMSS </w:t>
            </w:r>
          </w:p>
        </w:tc>
      </w:tr>
      <w:tr w:rsidR="00230696" w:rsidRPr="003C17A7" w:rsidTr="0082399E">
        <w:trPr>
          <w:trHeight w:val="1119"/>
        </w:trPr>
        <w:tc>
          <w:tcPr>
            <w:tcW w:w="4962" w:type="dxa"/>
            <w:shd w:val="clear" w:color="auto" w:fill="A6A6A6" w:themeFill="background1" w:themeFillShade="A6"/>
            <w:hideMark/>
          </w:tcPr>
          <w:p w:rsidR="00230696" w:rsidRPr="003C17A7" w:rsidRDefault="00230696" w:rsidP="00230696">
            <w:pPr>
              <w:rPr>
                <w:rFonts w:cs="Arial"/>
                <w:b/>
                <w:bCs/>
                <w:i/>
              </w:rPr>
            </w:pPr>
            <w:r w:rsidRPr="003C17A7">
              <w:rPr>
                <w:rFonts w:eastAsia="Calibri" w:cs="Times New Roman"/>
                <w:i/>
              </w:rPr>
              <w:br w:type="page"/>
            </w:r>
            <w:r w:rsidRPr="003C17A7">
              <w:rPr>
                <w:rFonts w:cs="Arial"/>
                <w:b/>
                <w:bCs/>
                <w:i/>
              </w:rPr>
              <w:t>Optique</w:t>
            </w:r>
            <w:r w:rsidRPr="003C17A7">
              <w:rPr>
                <w:rFonts w:cs="Arial"/>
                <w:b/>
                <w:bCs/>
                <w:i/>
                <w:vertAlign w:val="superscript"/>
              </w:rPr>
              <w:t xml:space="preserve"> (3)</w:t>
            </w:r>
          </w:p>
        </w:tc>
        <w:tc>
          <w:tcPr>
            <w:tcW w:w="4814" w:type="dxa"/>
            <w:shd w:val="clear" w:color="auto" w:fill="A6A6A6" w:themeFill="background1" w:themeFillShade="A6"/>
            <w:hideMark/>
          </w:tcPr>
          <w:p w:rsidR="00230696" w:rsidRPr="003C17A7" w:rsidRDefault="00230696" w:rsidP="00230696">
            <w:pPr>
              <w:jc w:val="center"/>
              <w:rPr>
                <w:rFonts w:cs="Arial"/>
                <w:i/>
              </w:rPr>
            </w:pPr>
            <w:r w:rsidRPr="003C17A7">
              <w:rPr>
                <w:rFonts w:cs="Arial"/>
                <w:i/>
              </w:rPr>
              <w:t>Limitation : Un équipement (verres + monture)</w:t>
            </w:r>
          </w:p>
          <w:p w:rsidR="00230696" w:rsidRPr="003C17A7" w:rsidRDefault="00230696" w:rsidP="00230696">
            <w:pPr>
              <w:jc w:val="center"/>
              <w:rPr>
                <w:rFonts w:cs="Arial"/>
                <w:i/>
              </w:rPr>
            </w:pPr>
            <w:r w:rsidRPr="003C17A7">
              <w:rPr>
                <w:rFonts w:cs="Arial"/>
                <w:i/>
              </w:rPr>
              <w:t xml:space="preserve"> tous les 2 ans </w:t>
            </w:r>
            <w:r w:rsidR="007C59CD" w:rsidRPr="003C17A7">
              <w:rPr>
                <w:rFonts w:cs="Arial"/>
                <w:i/>
              </w:rPr>
              <w:t>de date à date</w:t>
            </w:r>
            <w:r w:rsidRPr="003C17A7">
              <w:rPr>
                <w:rFonts w:cs="Arial"/>
                <w:i/>
              </w:rPr>
              <w:br/>
              <w:t xml:space="preserve">Sauf mineurs ou sauf évolution de la vue : </w:t>
            </w:r>
          </w:p>
          <w:p w:rsidR="00230696" w:rsidRPr="003C17A7" w:rsidRDefault="00230696" w:rsidP="00230696">
            <w:pPr>
              <w:jc w:val="center"/>
              <w:rPr>
                <w:rFonts w:cs="Arial"/>
                <w:i/>
              </w:rPr>
            </w:pPr>
            <w:r w:rsidRPr="003C17A7">
              <w:rPr>
                <w:rFonts w:cs="Arial"/>
                <w:i/>
              </w:rPr>
              <w:t>un équipement tous les ans</w:t>
            </w:r>
          </w:p>
        </w:tc>
      </w:tr>
      <w:tr w:rsidR="00230696" w:rsidRPr="003C17A7" w:rsidTr="0082399E">
        <w:trPr>
          <w:trHeight w:val="282"/>
        </w:trPr>
        <w:tc>
          <w:tcPr>
            <w:tcW w:w="4962" w:type="dxa"/>
            <w:hideMark/>
          </w:tcPr>
          <w:p w:rsidR="00230696" w:rsidRPr="003C17A7" w:rsidRDefault="00230696" w:rsidP="00230696">
            <w:pPr>
              <w:rPr>
                <w:rFonts w:cs="Arial"/>
                <w:i/>
              </w:rPr>
            </w:pPr>
            <w:r w:rsidRPr="003C17A7">
              <w:rPr>
                <w:rFonts w:cs="Arial"/>
                <w:i/>
              </w:rPr>
              <w:t>Monture seule</w:t>
            </w:r>
          </w:p>
        </w:tc>
        <w:tc>
          <w:tcPr>
            <w:tcW w:w="4814" w:type="dxa"/>
            <w:shd w:val="clear" w:color="auto" w:fill="auto"/>
            <w:hideMark/>
          </w:tcPr>
          <w:p w:rsidR="00230696" w:rsidRPr="003C17A7" w:rsidRDefault="00230696" w:rsidP="00230696">
            <w:pPr>
              <w:jc w:val="center"/>
              <w:rPr>
                <w:rFonts w:cs="Arial"/>
                <w:i/>
              </w:rPr>
            </w:pPr>
            <w:r w:rsidRPr="003C17A7">
              <w:rPr>
                <w:rFonts w:cs="Arial"/>
                <w:i/>
              </w:rPr>
              <w:t>150 €</w:t>
            </w:r>
          </w:p>
        </w:tc>
      </w:tr>
      <w:tr w:rsidR="00855580" w:rsidRPr="003C17A7" w:rsidTr="007C59CD">
        <w:trPr>
          <w:trHeight w:val="195"/>
        </w:trPr>
        <w:tc>
          <w:tcPr>
            <w:tcW w:w="4962" w:type="dxa"/>
            <w:shd w:val="clear" w:color="auto" w:fill="A6A6A6" w:themeFill="background1" w:themeFillShade="A6"/>
            <w:hideMark/>
          </w:tcPr>
          <w:p w:rsidR="00855580" w:rsidRPr="003C17A7" w:rsidRDefault="00855580" w:rsidP="00230696">
            <w:pPr>
              <w:rPr>
                <w:rFonts w:cs="Arial"/>
                <w:i/>
              </w:rPr>
            </w:pPr>
            <w:r w:rsidRPr="003C17A7">
              <w:rPr>
                <w:rFonts w:cs="Arial"/>
                <w:i/>
              </w:rPr>
              <w:t>Verres</w:t>
            </w:r>
          </w:p>
        </w:tc>
        <w:tc>
          <w:tcPr>
            <w:tcW w:w="4814" w:type="dxa"/>
            <w:shd w:val="clear" w:color="auto" w:fill="A6A6A6" w:themeFill="background1" w:themeFillShade="A6"/>
            <w:hideMark/>
          </w:tcPr>
          <w:p w:rsidR="00855580" w:rsidRPr="003C17A7" w:rsidRDefault="00855580" w:rsidP="00230696">
            <w:pPr>
              <w:jc w:val="center"/>
              <w:rPr>
                <w:rFonts w:cs="Arial"/>
                <w:i/>
              </w:rPr>
            </w:pPr>
          </w:p>
        </w:tc>
      </w:tr>
      <w:tr w:rsidR="00855580" w:rsidRPr="003C17A7" w:rsidTr="007C59CD">
        <w:trPr>
          <w:trHeight w:val="476"/>
        </w:trPr>
        <w:tc>
          <w:tcPr>
            <w:tcW w:w="4962" w:type="dxa"/>
          </w:tcPr>
          <w:p w:rsidR="00855580" w:rsidRPr="003C17A7" w:rsidRDefault="00855580" w:rsidP="00855580">
            <w:pPr>
              <w:rPr>
                <w:i/>
              </w:rPr>
            </w:pPr>
            <w:r w:rsidRPr="003C17A7">
              <w:rPr>
                <w:i/>
              </w:rPr>
              <w:t>Verre simple</w:t>
            </w:r>
          </w:p>
        </w:tc>
        <w:tc>
          <w:tcPr>
            <w:tcW w:w="4814" w:type="dxa"/>
          </w:tcPr>
          <w:p w:rsidR="00855580" w:rsidRPr="003C17A7" w:rsidRDefault="00855580" w:rsidP="00855580">
            <w:pPr>
              <w:jc w:val="center"/>
              <w:rPr>
                <w:i/>
              </w:rPr>
            </w:pPr>
            <w:r w:rsidRPr="003C17A7">
              <w:rPr>
                <w:i/>
              </w:rPr>
              <w:t>160€ par verre</w:t>
            </w:r>
          </w:p>
        </w:tc>
      </w:tr>
      <w:tr w:rsidR="00855580" w:rsidRPr="003C17A7" w:rsidTr="007C59CD">
        <w:trPr>
          <w:trHeight w:val="476"/>
        </w:trPr>
        <w:tc>
          <w:tcPr>
            <w:tcW w:w="4962" w:type="dxa"/>
          </w:tcPr>
          <w:p w:rsidR="00855580" w:rsidRPr="003C17A7" w:rsidRDefault="00855580" w:rsidP="00855580">
            <w:pPr>
              <w:rPr>
                <w:i/>
              </w:rPr>
            </w:pPr>
            <w:r w:rsidRPr="003C17A7">
              <w:rPr>
                <w:i/>
              </w:rPr>
              <w:t>Verre complexe</w:t>
            </w:r>
          </w:p>
        </w:tc>
        <w:tc>
          <w:tcPr>
            <w:tcW w:w="4814" w:type="dxa"/>
          </w:tcPr>
          <w:p w:rsidR="00855580" w:rsidRPr="003C17A7" w:rsidRDefault="00855580" w:rsidP="00855580">
            <w:pPr>
              <w:jc w:val="center"/>
              <w:rPr>
                <w:i/>
              </w:rPr>
            </w:pPr>
            <w:r w:rsidRPr="003C17A7">
              <w:rPr>
                <w:i/>
              </w:rPr>
              <w:t>300€ par verre</w:t>
            </w:r>
          </w:p>
        </w:tc>
      </w:tr>
      <w:tr w:rsidR="00855580" w:rsidRPr="003C17A7" w:rsidTr="007C59CD">
        <w:trPr>
          <w:trHeight w:val="476"/>
        </w:trPr>
        <w:tc>
          <w:tcPr>
            <w:tcW w:w="4962" w:type="dxa"/>
          </w:tcPr>
          <w:p w:rsidR="00855580" w:rsidRPr="003C17A7" w:rsidRDefault="00855580" w:rsidP="00855580">
            <w:pPr>
              <w:rPr>
                <w:i/>
              </w:rPr>
            </w:pPr>
            <w:r w:rsidRPr="003C17A7">
              <w:rPr>
                <w:i/>
              </w:rPr>
              <w:t>Verre très complexe</w:t>
            </w:r>
          </w:p>
        </w:tc>
        <w:tc>
          <w:tcPr>
            <w:tcW w:w="4814" w:type="dxa"/>
          </w:tcPr>
          <w:p w:rsidR="00855580" w:rsidRPr="003C17A7" w:rsidRDefault="00855580" w:rsidP="00855580">
            <w:pPr>
              <w:jc w:val="center"/>
              <w:rPr>
                <w:i/>
              </w:rPr>
            </w:pPr>
            <w:r w:rsidRPr="003C17A7">
              <w:rPr>
                <w:i/>
              </w:rPr>
              <w:t>350€ par verre</w:t>
            </w:r>
          </w:p>
        </w:tc>
      </w:tr>
      <w:tr w:rsidR="00230696" w:rsidRPr="003C17A7" w:rsidTr="0082399E">
        <w:trPr>
          <w:trHeight w:val="476"/>
        </w:trPr>
        <w:tc>
          <w:tcPr>
            <w:tcW w:w="4962" w:type="dxa"/>
            <w:hideMark/>
          </w:tcPr>
          <w:p w:rsidR="00230696" w:rsidRPr="003C17A7" w:rsidRDefault="00230696" w:rsidP="00230696">
            <w:pPr>
              <w:rPr>
                <w:rFonts w:cs="Arial"/>
                <w:i/>
              </w:rPr>
            </w:pPr>
            <w:r w:rsidRPr="003C17A7">
              <w:rPr>
                <w:rFonts w:cs="Arial"/>
                <w:i/>
              </w:rPr>
              <w:t>Lentilles non remboursées par la Sécurité sociale</w:t>
            </w:r>
          </w:p>
        </w:tc>
        <w:tc>
          <w:tcPr>
            <w:tcW w:w="4814" w:type="dxa"/>
            <w:vAlign w:val="center"/>
            <w:hideMark/>
          </w:tcPr>
          <w:p w:rsidR="00230696" w:rsidRPr="003C17A7" w:rsidRDefault="00230696" w:rsidP="00230696">
            <w:pPr>
              <w:jc w:val="center"/>
              <w:rPr>
                <w:rFonts w:cs="Arial"/>
                <w:i/>
              </w:rPr>
            </w:pPr>
            <w:r w:rsidRPr="003C17A7">
              <w:rPr>
                <w:rFonts w:cs="Arial"/>
                <w:i/>
              </w:rPr>
              <w:t xml:space="preserve">5% PMSS / paire / bénéficiaire </w:t>
            </w:r>
          </w:p>
        </w:tc>
      </w:tr>
      <w:tr w:rsidR="00230696" w:rsidRPr="003C17A7" w:rsidTr="0082399E">
        <w:trPr>
          <w:trHeight w:val="512"/>
        </w:trPr>
        <w:tc>
          <w:tcPr>
            <w:tcW w:w="4962" w:type="dxa"/>
            <w:hideMark/>
          </w:tcPr>
          <w:p w:rsidR="00230696" w:rsidRPr="003C17A7" w:rsidRDefault="00230696" w:rsidP="00230696">
            <w:pPr>
              <w:rPr>
                <w:rFonts w:cs="Arial"/>
                <w:i/>
              </w:rPr>
            </w:pPr>
            <w:r w:rsidRPr="003C17A7">
              <w:rPr>
                <w:rFonts w:cs="Arial"/>
                <w:i/>
              </w:rPr>
              <w:t>Lentilles remboursées par la Sécurité sociale</w:t>
            </w:r>
          </w:p>
        </w:tc>
        <w:tc>
          <w:tcPr>
            <w:tcW w:w="4814" w:type="dxa"/>
            <w:vAlign w:val="center"/>
            <w:hideMark/>
          </w:tcPr>
          <w:p w:rsidR="00230696" w:rsidRPr="003C17A7" w:rsidRDefault="00230696" w:rsidP="00230696">
            <w:pPr>
              <w:jc w:val="center"/>
              <w:rPr>
                <w:rFonts w:cs="Arial"/>
                <w:i/>
              </w:rPr>
            </w:pPr>
            <w:r w:rsidRPr="003C17A7">
              <w:rPr>
                <w:rFonts w:cs="Arial"/>
                <w:i/>
              </w:rPr>
              <w:t xml:space="preserve">5% PMSS / paire / bénéficiaire </w:t>
            </w:r>
            <w:r w:rsidRPr="003C17A7">
              <w:rPr>
                <w:rFonts w:cs="Arial"/>
                <w:i/>
              </w:rPr>
              <w:br/>
              <w:t>puis minimum Ticket Modérateur</w:t>
            </w:r>
          </w:p>
        </w:tc>
      </w:tr>
      <w:tr w:rsidR="00230696" w:rsidRPr="003C17A7" w:rsidTr="0082399E">
        <w:trPr>
          <w:trHeight w:val="420"/>
        </w:trPr>
        <w:tc>
          <w:tcPr>
            <w:tcW w:w="4962" w:type="dxa"/>
            <w:shd w:val="clear" w:color="auto" w:fill="auto"/>
            <w:hideMark/>
          </w:tcPr>
          <w:p w:rsidR="00230696" w:rsidRPr="003C17A7" w:rsidRDefault="00230696" w:rsidP="00230696">
            <w:pPr>
              <w:rPr>
                <w:rFonts w:cs="Arial"/>
                <w:bCs/>
                <w:i/>
              </w:rPr>
            </w:pPr>
            <w:r w:rsidRPr="003C17A7">
              <w:rPr>
                <w:rFonts w:cs="Arial"/>
                <w:bCs/>
                <w:i/>
              </w:rPr>
              <w:t>Opération de la myopie ou de l'hypermétropie</w:t>
            </w:r>
          </w:p>
        </w:tc>
        <w:tc>
          <w:tcPr>
            <w:tcW w:w="4814" w:type="dxa"/>
            <w:shd w:val="clear" w:color="auto" w:fill="auto"/>
            <w:vAlign w:val="center"/>
            <w:hideMark/>
          </w:tcPr>
          <w:p w:rsidR="00230696" w:rsidRPr="003C17A7" w:rsidRDefault="00230696" w:rsidP="00230696">
            <w:pPr>
              <w:jc w:val="center"/>
              <w:rPr>
                <w:rFonts w:cs="Arial"/>
                <w:i/>
              </w:rPr>
            </w:pPr>
            <w:r w:rsidRPr="003C17A7">
              <w:rPr>
                <w:rFonts w:cs="Arial"/>
                <w:i/>
              </w:rPr>
              <w:t>600€ / œil</w:t>
            </w:r>
          </w:p>
        </w:tc>
      </w:tr>
      <w:tr w:rsidR="00230696" w:rsidRPr="003C17A7" w:rsidTr="0082399E">
        <w:trPr>
          <w:trHeight w:val="180"/>
        </w:trPr>
        <w:tc>
          <w:tcPr>
            <w:tcW w:w="4962" w:type="dxa"/>
            <w:shd w:val="clear" w:color="auto" w:fill="BFBFBF" w:themeFill="background1" w:themeFillShade="BF"/>
            <w:noWrap/>
            <w:hideMark/>
          </w:tcPr>
          <w:p w:rsidR="00230696" w:rsidRPr="003C17A7" w:rsidRDefault="00230696" w:rsidP="00230696">
            <w:pPr>
              <w:rPr>
                <w:rFonts w:cs="Arial"/>
                <w:b/>
                <w:bCs/>
                <w:i/>
              </w:rPr>
            </w:pPr>
            <w:r w:rsidRPr="003C17A7">
              <w:rPr>
                <w:rFonts w:cs="Arial"/>
                <w:b/>
                <w:bCs/>
                <w:i/>
              </w:rPr>
              <w:t>Autres soins</w:t>
            </w:r>
          </w:p>
        </w:tc>
        <w:tc>
          <w:tcPr>
            <w:tcW w:w="4814" w:type="dxa"/>
            <w:shd w:val="clear" w:color="auto" w:fill="BFBFBF" w:themeFill="background1" w:themeFillShade="BF"/>
            <w:noWrap/>
            <w:hideMark/>
          </w:tcPr>
          <w:p w:rsidR="00230696" w:rsidRPr="003C17A7" w:rsidRDefault="00230696" w:rsidP="00230696">
            <w:pPr>
              <w:jc w:val="center"/>
              <w:rPr>
                <w:rFonts w:cs="Arial"/>
                <w:b/>
                <w:bCs/>
                <w:i/>
              </w:rPr>
            </w:pPr>
          </w:p>
        </w:tc>
      </w:tr>
      <w:tr w:rsidR="00230696" w:rsidRPr="003C17A7" w:rsidTr="0082399E">
        <w:trPr>
          <w:trHeight w:val="716"/>
        </w:trPr>
        <w:tc>
          <w:tcPr>
            <w:tcW w:w="4962" w:type="dxa"/>
            <w:vMerge w:val="restart"/>
            <w:hideMark/>
          </w:tcPr>
          <w:p w:rsidR="00230696" w:rsidRPr="003C17A7" w:rsidRDefault="00230696" w:rsidP="00230696">
            <w:pPr>
              <w:rPr>
                <w:rFonts w:cs="Arial"/>
                <w:i/>
              </w:rPr>
            </w:pPr>
            <w:r w:rsidRPr="003C17A7">
              <w:rPr>
                <w:rFonts w:cs="Arial"/>
                <w:i/>
              </w:rPr>
              <w:t>Prothèses</w:t>
            </w:r>
          </w:p>
        </w:tc>
        <w:tc>
          <w:tcPr>
            <w:tcW w:w="4814" w:type="dxa"/>
            <w:shd w:val="clear" w:color="auto" w:fill="auto"/>
            <w:hideMark/>
          </w:tcPr>
          <w:p w:rsidR="00230696" w:rsidRPr="003C17A7" w:rsidRDefault="00230696" w:rsidP="00230696">
            <w:pPr>
              <w:jc w:val="center"/>
              <w:rPr>
                <w:rFonts w:cs="Arial"/>
                <w:i/>
              </w:rPr>
            </w:pPr>
            <w:r w:rsidRPr="003C17A7">
              <w:rPr>
                <w:rFonts w:cs="Arial"/>
                <w:i/>
              </w:rPr>
              <w:t>Prothèses auditives</w:t>
            </w:r>
          </w:p>
          <w:p w:rsidR="00230696" w:rsidRPr="003C17A7" w:rsidRDefault="00230696" w:rsidP="00230696">
            <w:pPr>
              <w:jc w:val="center"/>
              <w:rPr>
                <w:rFonts w:cs="Arial"/>
                <w:i/>
              </w:rPr>
            </w:pPr>
            <w:r w:rsidRPr="003C17A7">
              <w:rPr>
                <w:rFonts w:cs="Arial"/>
                <w:i/>
              </w:rPr>
              <w:t>100% FR - SS limité à 477% MRSS</w:t>
            </w:r>
          </w:p>
          <w:p w:rsidR="00230696" w:rsidRPr="003C17A7" w:rsidRDefault="00230696" w:rsidP="00230696">
            <w:pPr>
              <w:jc w:val="center"/>
              <w:rPr>
                <w:rFonts w:cs="Arial"/>
                <w:i/>
              </w:rPr>
            </w:pPr>
            <w:r w:rsidRPr="003C17A7">
              <w:rPr>
                <w:rFonts w:cs="Arial"/>
                <w:i/>
              </w:rPr>
              <w:t>maxi 2 prothèses / an avec un minimum de 450€/oreille</w:t>
            </w:r>
          </w:p>
        </w:tc>
      </w:tr>
      <w:tr w:rsidR="00230696" w:rsidRPr="003C17A7" w:rsidTr="0082399E">
        <w:trPr>
          <w:trHeight w:val="216"/>
        </w:trPr>
        <w:tc>
          <w:tcPr>
            <w:tcW w:w="4962" w:type="dxa"/>
            <w:vMerge/>
          </w:tcPr>
          <w:p w:rsidR="00230696" w:rsidRPr="003C17A7" w:rsidRDefault="00230696" w:rsidP="00230696">
            <w:pPr>
              <w:rPr>
                <w:rFonts w:cs="Arial"/>
                <w:i/>
              </w:rPr>
            </w:pPr>
          </w:p>
        </w:tc>
        <w:tc>
          <w:tcPr>
            <w:tcW w:w="4814" w:type="dxa"/>
          </w:tcPr>
          <w:p w:rsidR="00230696" w:rsidRPr="003C17A7" w:rsidRDefault="00230696" w:rsidP="00230696">
            <w:pPr>
              <w:jc w:val="center"/>
              <w:rPr>
                <w:rFonts w:cs="Arial"/>
                <w:i/>
              </w:rPr>
            </w:pPr>
            <w:r w:rsidRPr="003C17A7">
              <w:rPr>
                <w:rFonts w:cs="Arial"/>
                <w:i/>
              </w:rPr>
              <w:t>Autres prothèses</w:t>
            </w:r>
          </w:p>
          <w:p w:rsidR="00230696" w:rsidRPr="003C17A7" w:rsidRDefault="00230696" w:rsidP="00230696">
            <w:pPr>
              <w:jc w:val="center"/>
              <w:rPr>
                <w:rFonts w:cs="Arial"/>
                <w:i/>
              </w:rPr>
            </w:pPr>
            <w:r w:rsidRPr="003C17A7">
              <w:rPr>
                <w:rFonts w:cs="Arial"/>
                <w:i/>
              </w:rPr>
              <w:t>100% FR - SS limité à 477% MRSS</w:t>
            </w:r>
            <w:r w:rsidRPr="003C17A7">
              <w:rPr>
                <w:rFonts w:cs="Arial"/>
                <w:i/>
              </w:rPr>
              <w:br/>
              <w:t>avec un minimum de 100% BR</w:t>
            </w:r>
          </w:p>
        </w:tc>
      </w:tr>
      <w:tr w:rsidR="00230696" w:rsidRPr="003C17A7" w:rsidTr="0082399E">
        <w:trPr>
          <w:trHeight w:val="216"/>
        </w:trPr>
        <w:tc>
          <w:tcPr>
            <w:tcW w:w="4962" w:type="dxa"/>
            <w:hideMark/>
          </w:tcPr>
          <w:p w:rsidR="00230696" w:rsidRPr="003C17A7" w:rsidRDefault="00230696" w:rsidP="00230696">
            <w:pPr>
              <w:rPr>
                <w:rFonts w:cs="Arial"/>
                <w:i/>
              </w:rPr>
            </w:pPr>
            <w:r w:rsidRPr="003C17A7">
              <w:rPr>
                <w:rFonts w:cs="Arial"/>
                <w:i/>
              </w:rPr>
              <w:t>Ostéopathie</w:t>
            </w:r>
          </w:p>
        </w:tc>
        <w:tc>
          <w:tcPr>
            <w:tcW w:w="4814" w:type="dxa"/>
            <w:hideMark/>
          </w:tcPr>
          <w:p w:rsidR="00230696" w:rsidRPr="003C17A7" w:rsidRDefault="00230696" w:rsidP="00230696">
            <w:pPr>
              <w:jc w:val="center"/>
              <w:rPr>
                <w:rFonts w:cs="Arial"/>
                <w:i/>
              </w:rPr>
            </w:pPr>
            <w:r w:rsidRPr="003C17A7">
              <w:rPr>
                <w:rFonts w:cs="Arial"/>
                <w:i/>
              </w:rPr>
              <w:t>40€ / acte / maxi 3 / an / bénéficiaire</w:t>
            </w:r>
          </w:p>
        </w:tc>
      </w:tr>
      <w:tr w:rsidR="00230696" w:rsidRPr="003C17A7" w:rsidTr="0082399E">
        <w:trPr>
          <w:trHeight w:val="248"/>
        </w:trPr>
        <w:tc>
          <w:tcPr>
            <w:tcW w:w="4962" w:type="dxa"/>
            <w:hideMark/>
          </w:tcPr>
          <w:p w:rsidR="00230696" w:rsidRPr="003C17A7" w:rsidRDefault="00230696" w:rsidP="00230696">
            <w:pPr>
              <w:rPr>
                <w:rFonts w:cs="Arial"/>
                <w:i/>
              </w:rPr>
            </w:pPr>
            <w:r w:rsidRPr="003C17A7">
              <w:rPr>
                <w:rFonts w:cs="Arial"/>
                <w:i/>
              </w:rPr>
              <w:t xml:space="preserve">Cure thermale </w:t>
            </w:r>
          </w:p>
        </w:tc>
        <w:tc>
          <w:tcPr>
            <w:tcW w:w="4814" w:type="dxa"/>
            <w:hideMark/>
          </w:tcPr>
          <w:p w:rsidR="00230696" w:rsidRPr="003C17A7" w:rsidRDefault="00230696" w:rsidP="00230696">
            <w:pPr>
              <w:jc w:val="center"/>
              <w:rPr>
                <w:rFonts w:cs="Arial"/>
                <w:i/>
              </w:rPr>
            </w:pPr>
            <w:r w:rsidRPr="003C17A7">
              <w:rPr>
                <w:rFonts w:cs="Arial"/>
                <w:i/>
              </w:rPr>
              <w:t xml:space="preserve">100% FR maxi 20% PMSS </w:t>
            </w:r>
          </w:p>
        </w:tc>
      </w:tr>
      <w:tr w:rsidR="00230696" w:rsidRPr="003C17A7" w:rsidTr="0082399E">
        <w:trPr>
          <w:trHeight w:val="564"/>
        </w:trPr>
        <w:tc>
          <w:tcPr>
            <w:tcW w:w="4962" w:type="dxa"/>
            <w:hideMark/>
          </w:tcPr>
          <w:p w:rsidR="00230696" w:rsidRPr="003C17A7" w:rsidRDefault="00230696" w:rsidP="00230696">
            <w:pPr>
              <w:rPr>
                <w:rFonts w:cs="Arial"/>
                <w:i/>
              </w:rPr>
            </w:pPr>
            <w:r w:rsidRPr="003C17A7">
              <w:rPr>
                <w:rFonts w:cs="Arial"/>
                <w:i/>
              </w:rPr>
              <w:t>Maternité</w:t>
            </w:r>
          </w:p>
        </w:tc>
        <w:tc>
          <w:tcPr>
            <w:tcW w:w="4814" w:type="dxa"/>
            <w:hideMark/>
          </w:tcPr>
          <w:p w:rsidR="00230696" w:rsidRPr="003C17A7" w:rsidRDefault="00230696" w:rsidP="00230696">
            <w:pPr>
              <w:jc w:val="center"/>
              <w:rPr>
                <w:rFonts w:cs="Arial"/>
                <w:i/>
              </w:rPr>
            </w:pPr>
            <w:r w:rsidRPr="003C17A7">
              <w:rPr>
                <w:rFonts w:cs="Arial"/>
                <w:i/>
              </w:rPr>
              <w:t xml:space="preserve">100% FR maxi 20% PMSS </w:t>
            </w:r>
          </w:p>
          <w:p w:rsidR="00230696" w:rsidRPr="003C17A7" w:rsidRDefault="00230696" w:rsidP="00230696">
            <w:pPr>
              <w:jc w:val="center"/>
              <w:rPr>
                <w:rFonts w:cs="Arial"/>
                <w:i/>
              </w:rPr>
            </w:pPr>
            <w:r w:rsidRPr="003C17A7">
              <w:rPr>
                <w:rFonts w:cs="Arial"/>
                <w:i/>
              </w:rPr>
              <w:t xml:space="preserve">dans la limite des frais restant à charge </w:t>
            </w:r>
          </w:p>
        </w:tc>
      </w:tr>
      <w:tr w:rsidR="00230696" w:rsidRPr="003C17A7" w:rsidTr="0082399E">
        <w:trPr>
          <w:trHeight w:val="563"/>
        </w:trPr>
        <w:tc>
          <w:tcPr>
            <w:tcW w:w="4962" w:type="dxa"/>
            <w:hideMark/>
          </w:tcPr>
          <w:p w:rsidR="00230696" w:rsidRPr="003C17A7" w:rsidRDefault="00230696" w:rsidP="00230696">
            <w:pPr>
              <w:rPr>
                <w:rFonts w:cs="Arial"/>
                <w:i/>
              </w:rPr>
            </w:pPr>
            <w:r w:rsidRPr="003C17A7">
              <w:rPr>
                <w:rFonts w:cs="Arial"/>
                <w:i/>
              </w:rPr>
              <w:t>Vaccins non pris en charge</w:t>
            </w:r>
          </w:p>
        </w:tc>
        <w:tc>
          <w:tcPr>
            <w:tcW w:w="4814" w:type="dxa"/>
            <w:vAlign w:val="center"/>
            <w:hideMark/>
          </w:tcPr>
          <w:p w:rsidR="00230696" w:rsidRPr="003C17A7" w:rsidRDefault="00230696" w:rsidP="00230696">
            <w:pPr>
              <w:jc w:val="center"/>
              <w:rPr>
                <w:rFonts w:cs="Arial"/>
                <w:i/>
              </w:rPr>
            </w:pPr>
            <w:r w:rsidRPr="003C17A7">
              <w:rPr>
                <w:rFonts w:cs="Arial"/>
                <w:i/>
              </w:rPr>
              <w:t>6% PMSS / an / bénéficiaire</w:t>
            </w:r>
          </w:p>
        </w:tc>
      </w:tr>
      <w:tr w:rsidR="00230696" w:rsidRPr="003C17A7" w:rsidTr="0082399E">
        <w:trPr>
          <w:trHeight w:val="412"/>
        </w:trPr>
        <w:tc>
          <w:tcPr>
            <w:tcW w:w="4962" w:type="dxa"/>
            <w:hideMark/>
          </w:tcPr>
          <w:p w:rsidR="00230696" w:rsidRPr="003C17A7" w:rsidRDefault="00230696" w:rsidP="00230696">
            <w:pPr>
              <w:rPr>
                <w:rFonts w:cs="Arial"/>
                <w:i/>
              </w:rPr>
            </w:pPr>
            <w:r w:rsidRPr="003C17A7">
              <w:rPr>
                <w:rFonts w:cs="Arial"/>
                <w:i/>
              </w:rPr>
              <w:t xml:space="preserve">Bilan de prophylaxie dentaire </w:t>
            </w:r>
          </w:p>
        </w:tc>
        <w:tc>
          <w:tcPr>
            <w:tcW w:w="4814" w:type="dxa"/>
            <w:vMerge w:val="restart"/>
            <w:noWrap/>
            <w:vAlign w:val="center"/>
            <w:hideMark/>
          </w:tcPr>
          <w:p w:rsidR="00230696" w:rsidRPr="003C17A7" w:rsidRDefault="00230696" w:rsidP="00230696">
            <w:pPr>
              <w:jc w:val="center"/>
              <w:rPr>
                <w:rFonts w:cs="Arial"/>
                <w:i/>
              </w:rPr>
            </w:pPr>
            <w:r w:rsidRPr="003C17A7">
              <w:rPr>
                <w:rFonts w:cs="Arial"/>
                <w:i/>
              </w:rPr>
              <w:t>120€ / an / bénéficiaire</w:t>
            </w:r>
          </w:p>
        </w:tc>
      </w:tr>
      <w:tr w:rsidR="00230696" w:rsidRPr="003C17A7" w:rsidTr="0082399E">
        <w:trPr>
          <w:trHeight w:val="417"/>
        </w:trPr>
        <w:tc>
          <w:tcPr>
            <w:tcW w:w="4962" w:type="dxa"/>
            <w:hideMark/>
          </w:tcPr>
          <w:p w:rsidR="00230696" w:rsidRPr="003C17A7" w:rsidRDefault="00230696" w:rsidP="00230696">
            <w:pPr>
              <w:rPr>
                <w:rFonts w:cs="Arial"/>
                <w:i/>
              </w:rPr>
            </w:pPr>
            <w:r w:rsidRPr="003C17A7">
              <w:rPr>
                <w:rFonts w:cs="Arial"/>
                <w:i/>
              </w:rPr>
              <w:t>Consultation diététicien pour enfant -12 ans</w:t>
            </w:r>
          </w:p>
        </w:tc>
        <w:tc>
          <w:tcPr>
            <w:tcW w:w="4814" w:type="dxa"/>
            <w:vMerge/>
            <w:hideMark/>
          </w:tcPr>
          <w:p w:rsidR="00230696" w:rsidRPr="003C17A7" w:rsidRDefault="00230696" w:rsidP="00230696">
            <w:pPr>
              <w:jc w:val="center"/>
              <w:rPr>
                <w:rFonts w:cs="Arial"/>
                <w:i/>
              </w:rPr>
            </w:pPr>
          </w:p>
        </w:tc>
      </w:tr>
      <w:tr w:rsidR="00230696" w:rsidRPr="003C17A7" w:rsidTr="0082399E">
        <w:trPr>
          <w:trHeight w:val="414"/>
        </w:trPr>
        <w:tc>
          <w:tcPr>
            <w:tcW w:w="4962" w:type="dxa"/>
            <w:hideMark/>
          </w:tcPr>
          <w:p w:rsidR="00230696" w:rsidRPr="003C17A7" w:rsidRDefault="00230696" w:rsidP="00230696">
            <w:pPr>
              <w:rPr>
                <w:rFonts w:cs="Arial"/>
                <w:i/>
              </w:rPr>
            </w:pPr>
            <w:r w:rsidRPr="003C17A7">
              <w:rPr>
                <w:rFonts w:cs="Arial"/>
                <w:i/>
              </w:rPr>
              <w:t>Sevrage tabagique</w:t>
            </w:r>
          </w:p>
        </w:tc>
        <w:tc>
          <w:tcPr>
            <w:tcW w:w="4814" w:type="dxa"/>
            <w:vMerge/>
            <w:hideMark/>
          </w:tcPr>
          <w:p w:rsidR="00230696" w:rsidRPr="003C17A7" w:rsidRDefault="00230696" w:rsidP="00230696">
            <w:pPr>
              <w:jc w:val="center"/>
              <w:rPr>
                <w:rFonts w:cs="Arial"/>
                <w:i/>
              </w:rPr>
            </w:pPr>
          </w:p>
        </w:tc>
      </w:tr>
    </w:tbl>
    <w:p w:rsidR="0082399E" w:rsidRPr="003C17A7" w:rsidRDefault="0082399E" w:rsidP="0082399E">
      <w:pPr>
        <w:spacing w:line="256" w:lineRule="auto"/>
        <w:jc w:val="both"/>
        <w:rPr>
          <w:rFonts w:ascii="Calibri" w:eastAsia="Calibri" w:hAnsi="Calibri" w:cs="Times New Roman"/>
        </w:rPr>
      </w:pPr>
    </w:p>
    <w:p w:rsidR="00230696" w:rsidRPr="003C17A7" w:rsidRDefault="00230696" w:rsidP="0082399E">
      <w:pPr>
        <w:spacing w:line="256" w:lineRule="auto"/>
        <w:jc w:val="both"/>
        <w:rPr>
          <w:rFonts w:ascii="Calibri" w:eastAsia="Calibri" w:hAnsi="Calibri" w:cs="Times New Roman"/>
          <w:i/>
        </w:rPr>
      </w:pPr>
      <w:r w:rsidRPr="003C17A7">
        <w:rPr>
          <w:rFonts w:ascii="Calibri" w:eastAsia="Calibri" w:hAnsi="Calibri" w:cs="Times New Roman"/>
          <w:i/>
        </w:rPr>
        <w:lastRenderedPageBreak/>
        <w:t>Les Parties conviennent que les garanties prévues par le présent accord ont été établies sur la base des dispositions légales et réglementaires relatives aux contrats « responsables » énoncées aux articles L. 871-1, R. 871-1 et R. 871-2 du Code de la Sécurité sociale. En cas de contradiction entre ces règles et celles prévues par le présent tableau, les Parties conviennent que les règles du contrat responsable prévaudront, sans qu’un avenant au présent accord soit nécessaire.</w:t>
      </w:r>
    </w:p>
    <w:p w:rsidR="00230696" w:rsidRPr="003C17A7" w:rsidRDefault="00230696" w:rsidP="00230696">
      <w:pPr>
        <w:spacing w:after="0" w:line="240" w:lineRule="auto"/>
        <w:contextualSpacing/>
        <w:jc w:val="both"/>
        <w:rPr>
          <w:rFonts w:ascii="Calibri" w:eastAsia="Calibri" w:hAnsi="Calibri" w:cs="Times New Roman"/>
          <w:i/>
          <w:color w:val="FF0000"/>
        </w:rPr>
      </w:pPr>
    </w:p>
    <w:p w:rsidR="00230696" w:rsidRPr="003C17A7" w:rsidRDefault="00230696" w:rsidP="00230696">
      <w:pPr>
        <w:spacing w:after="0" w:line="240" w:lineRule="auto"/>
        <w:contextualSpacing/>
        <w:jc w:val="both"/>
        <w:rPr>
          <w:rFonts w:ascii="Calibri" w:eastAsia="Calibri" w:hAnsi="Calibri" w:cs="Times New Roman"/>
          <w:i/>
        </w:rPr>
      </w:pPr>
      <w:r w:rsidRPr="003C17A7">
        <w:rPr>
          <w:rFonts w:ascii="Calibri" w:eastAsia="Calibri" w:hAnsi="Calibri" w:cs="Times New Roman"/>
          <w:i/>
        </w:rPr>
        <w:t>En cas de modification des garanties, la Direction informera les membres de la commission de suivi et les salariés</w:t>
      </w:r>
      <w:r w:rsidR="00FD5798" w:rsidRPr="003C17A7">
        <w:rPr>
          <w:rFonts w:ascii="Calibri" w:eastAsia="Calibri" w:hAnsi="Calibri" w:cs="Times New Roman"/>
          <w:i/>
        </w:rPr>
        <w:t> »</w:t>
      </w:r>
      <w:r w:rsidRPr="003C17A7">
        <w:rPr>
          <w:rFonts w:ascii="Calibri" w:eastAsia="Calibri" w:hAnsi="Calibri" w:cs="Times New Roman"/>
          <w:i/>
        </w:rPr>
        <w:t>.</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b/>
          <w:u w:val="single"/>
        </w:rPr>
      </w:pPr>
      <w:r w:rsidRPr="003C17A7">
        <w:rPr>
          <w:rFonts w:ascii="Calibri" w:eastAsia="Calibri" w:hAnsi="Calibri" w:cs="Times New Roman"/>
          <w:b/>
          <w:u w:val="single"/>
        </w:rPr>
        <w:t>ARTICLE 8</w:t>
      </w:r>
      <w:r w:rsidRPr="003C17A7">
        <w:rPr>
          <w:rFonts w:ascii="Calibri" w:eastAsia="Calibri" w:hAnsi="Calibri" w:cs="Times New Roman"/>
          <w:b/>
        </w:rPr>
        <w:tab/>
      </w:r>
      <w:r w:rsidRPr="003C17A7">
        <w:rPr>
          <w:rFonts w:ascii="Calibri" w:eastAsia="Calibri" w:hAnsi="Calibri" w:cs="Times New Roman"/>
          <w:b/>
          <w:u w:val="single"/>
        </w:rPr>
        <w:t>ENTREE EN VIGUEUR, DUREE, DEPOT ET PUBLICITE</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Le présent avenant prendra effet le 1</w:t>
      </w:r>
      <w:r w:rsidRPr="003C17A7">
        <w:rPr>
          <w:rFonts w:ascii="Calibri" w:eastAsia="Calibri" w:hAnsi="Calibri" w:cs="Times New Roman"/>
          <w:vertAlign w:val="superscript"/>
        </w:rPr>
        <w:t>er</w:t>
      </w:r>
      <w:r w:rsidRPr="003C17A7">
        <w:rPr>
          <w:rFonts w:ascii="Calibri" w:eastAsia="Calibri" w:hAnsi="Calibri" w:cs="Times New Roman"/>
        </w:rPr>
        <w:t xml:space="preserve"> janvier 2018. Il est conclu pour une durée indéterminée.</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Un exemplaire original du présent avenant sera remis à chaque Organisation Syndicale représentative.</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Conformément aux dispositions légales en vigueur et à l’issue du délai d’opposition, le présent avenant sera déposé en deux exemplaires originaux, le premier en version papier, le second en version électronique auprès de la Direction Régionale des Entreprises, de la Concurrence et de la Consommation, du Travail et de l’Emploi des Hauts de Seine.</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Un exemplaire du présent avenant sera également déposé au secrétariat-greffe du Conseil des Prud’hommes de Nanterre.</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 xml:space="preserve">Les salariés de l’UES Capgemini seront informés de la signature du présent avenant par voie d’affichage sur le web social et par tout moyen de communication habituellement en vigueur au sein de chaque établissement. </w:t>
      </w:r>
    </w:p>
    <w:p w:rsidR="00230696" w:rsidRPr="003C17A7" w:rsidRDefault="00230696" w:rsidP="00230696">
      <w:pPr>
        <w:spacing w:after="0" w:line="240" w:lineRule="auto"/>
        <w:contextualSpacing/>
        <w:jc w:val="both"/>
        <w:rPr>
          <w:rFonts w:ascii="Calibri" w:eastAsia="Calibri" w:hAnsi="Calibri" w:cs="Times New Roman"/>
        </w:rPr>
      </w:pPr>
    </w:p>
    <w:p w:rsidR="004C1931" w:rsidRPr="003C17A7" w:rsidRDefault="004C1931">
      <w:pPr>
        <w:rPr>
          <w:rFonts w:ascii="Calibri" w:eastAsia="Calibri" w:hAnsi="Calibri" w:cs="Times New Roman"/>
        </w:rPr>
      </w:pPr>
      <w:r w:rsidRPr="003C17A7">
        <w:rPr>
          <w:rFonts w:ascii="Calibri" w:eastAsia="Calibri" w:hAnsi="Calibri" w:cs="Times New Roman"/>
        </w:rPr>
        <w:br w:type="page"/>
      </w:r>
    </w:p>
    <w:p w:rsidR="0082399E" w:rsidRPr="003C17A7" w:rsidRDefault="0082399E"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 xml:space="preserve">Fait à Suresnes, le </w:t>
      </w:r>
      <w:r w:rsidR="00236B4F" w:rsidRPr="003C17A7">
        <w:rPr>
          <w:rFonts w:ascii="Calibri" w:eastAsia="Calibri" w:hAnsi="Calibri" w:cs="Times New Roman"/>
        </w:rPr>
        <w:t>9</w:t>
      </w:r>
      <w:r w:rsidR="00AC3BA5" w:rsidRPr="003C17A7">
        <w:rPr>
          <w:rFonts w:ascii="Calibri" w:eastAsia="Calibri" w:hAnsi="Calibri" w:cs="Times New Roman"/>
        </w:rPr>
        <w:t xml:space="preserve"> novembre 2017</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r w:rsidRPr="003C17A7">
        <w:rPr>
          <w:rFonts w:ascii="Calibri" w:eastAsia="Calibri" w:hAnsi="Calibri" w:cs="Times New Roman"/>
        </w:rPr>
        <w:t>En 9 exemplaires originaux</w:t>
      </w: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spacing w:after="0" w:line="240" w:lineRule="auto"/>
        <w:contextualSpacing/>
        <w:jc w:val="both"/>
        <w:rPr>
          <w:rFonts w:ascii="Calibri" w:eastAsia="Calibri" w:hAnsi="Calibri" w:cs="Times New Roman"/>
        </w:rPr>
      </w:pPr>
    </w:p>
    <w:p w:rsidR="00230696" w:rsidRPr="003C17A7" w:rsidRDefault="00230696" w:rsidP="00230696">
      <w:pPr>
        <w:tabs>
          <w:tab w:val="left" w:pos="5103"/>
        </w:tabs>
        <w:spacing w:after="0" w:line="240" w:lineRule="auto"/>
        <w:contextualSpacing/>
        <w:jc w:val="both"/>
        <w:rPr>
          <w:rFonts w:ascii="Calibri" w:eastAsia="Calibri" w:hAnsi="Calibri" w:cs="Times New Roman"/>
          <w:b/>
        </w:rPr>
      </w:pPr>
      <w:r w:rsidRPr="003C17A7">
        <w:rPr>
          <w:rFonts w:ascii="Calibri" w:eastAsia="Calibri" w:hAnsi="Calibri" w:cs="Times New Roman"/>
          <w:b/>
        </w:rPr>
        <w:t>Pour les sociétés de l’UES Capgemini</w:t>
      </w:r>
      <w:r w:rsidRPr="003C17A7">
        <w:rPr>
          <w:rFonts w:ascii="Calibri" w:eastAsia="Calibri" w:hAnsi="Calibri" w:cs="Times New Roman"/>
          <w:b/>
        </w:rPr>
        <w:tab/>
        <w:t>Pour la F3C-CFDT</w:t>
      </w:r>
    </w:p>
    <w:p w:rsidR="00230696" w:rsidRPr="003C17A7" w:rsidRDefault="00230696" w:rsidP="00230696">
      <w:pPr>
        <w:spacing w:after="0" w:line="240" w:lineRule="auto"/>
        <w:contextualSpacing/>
        <w:rPr>
          <w:rFonts w:ascii="Calibri" w:eastAsia="Calibri" w:hAnsi="Calibri" w:cs="Times New Roman"/>
        </w:rPr>
      </w:pPr>
    </w:p>
    <w:p w:rsidR="00230696" w:rsidRPr="003C17A7" w:rsidRDefault="00230696" w:rsidP="00230696">
      <w:pPr>
        <w:spacing w:after="0" w:line="240" w:lineRule="auto"/>
        <w:contextualSpacing/>
        <w:rPr>
          <w:rFonts w:ascii="Calibri" w:eastAsia="Calibri" w:hAnsi="Calibri" w:cs="Times New Roman"/>
        </w:rPr>
      </w:pPr>
    </w:p>
    <w:p w:rsidR="00230696" w:rsidRPr="003C17A7" w:rsidRDefault="00230696" w:rsidP="00230696">
      <w:pPr>
        <w:spacing w:after="0" w:line="240" w:lineRule="auto"/>
        <w:contextualSpacing/>
        <w:rPr>
          <w:rFonts w:ascii="Calibri" w:eastAsia="Calibri" w:hAnsi="Calibri" w:cs="Times New Roman"/>
        </w:rPr>
      </w:pPr>
    </w:p>
    <w:p w:rsidR="00230696" w:rsidRPr="003C17A7" w:rsidRDefault="00230696" w:rsidP="00230696">
      <w:pPr>
        <w:spacing w:after="0" w:line="240" w:lineRule="auto"/>
        <w:contextualSpacing/>
        <w:rPr>
          <w:rFonts w:ascii="Calibri" w:eastAsia="Calibri" w:hAnsi="Calibri" w:cs="Times New Roman"/>
        </w:rPr>
      </w:pPr>
    </w:p>
    <w:p w:rsidR="00230696" w:rsidRPr="003C17A7" w:rsidRDefault="00230696" w:rsidP="00230696">
      <w:pPr>
        <w:spacing w:after="0" w:line="240" w:lineRule="auto"/>
        <w:contextualSpacing/>
        <w:rPr>
          <w:rFonts w:ascii="Calibri" w:eastAsia="Calibri" w:hAnsi="Calibri" w:cs="Times New Roman"/>
        </w:rPr>
      </w:pPr>
    </w:p>
    <w:p w:rsidR="00230696" w:rsidRPr="003C17A7" w:rsidRDefault="00230696" w:rsidP="00230696">
      <w:pPr>
        <w:spacing w:after="0" w:line="240" w:lineRule="auto"/>
        <w:contextualSpacing/>
        <w:rPr>
          <w:rFonts w:ascii="Calibri" w:eastAsia="Calibri" w:hAnsi="Calibri" w:cs="Times New Roman"/>
        </w:rPr>
      </w:pPr>
    </w:p>
    <w:p w:rsidR="00230696" w:rsidRPr="003C17A7" w:rsidRDefault="00230696" w:rsidP="00230696">
      <w:pPr>
        <w:tabs>
          <w:tab w:val="left" w:pos="5103"/>
        </w:tabs>
        <w:spacing w:after="0" w:line="240" w:lineRule="auto"/>
        <w:contextualSpacing/>
        <w:rPr>
          <w:rFonts w:ascii="Calibri" w:eastAsia="Calibri" w:hAnsi="Calibri" w:cs="Times New Roman"/>
          <w:b/>
        </w:rPr>
      </w:pPr>
      <w:r w:rsidRPr="003C17A7">
        <w:rPr>
          <w:rFonts w:ascii="Calibri" w:eastAsia="Calibri" w:hAnsi="Calibri" w:cs="Times New Roman"/>
          <w:b/>
        </w:rPr>
        <w:t>Pour le syndicat SNEPSSI (CFE-CGC)</w:t>
      </w:r>
      <w:r w:rsidRPr="003C17A7">
        <w:rPr>
          <w:rFonts w:ascii="Calibri" w:eastAsia="Calibri" w:hAnsi="Calibri" w:cs="Times New Roman"/>
          <w:b/>
        </w:rPr>
        <w:tab/>
        <w:t>Pour le syndicat SICSTI (CFTC)</w:t>
      </w:r>
    </w:p>
    <w:p w:rsidR="00230696" w:rsidRPr="003C17A7" w:rsidRDefault="00230696" w:rsidP="00230696">
      <w:pPr>
        <w:tabs>
          <w:tab w:val="left" w:pos="5103"/>
        </w:tabs>
        <w:spacing w:after="0" w:line="240" w:lineRule="auto"/>
        <w:contextualSpacing/>
        <w:rPr>
          <w:rFonts w:ascii="Calibri" w:eastAsia="Calibri" w:hAnsi="Calibri" w:cs="Times New Roman"/>
        </w:rPr>
      </w:pPr>
    </w:p>
    <w:p w:rsidR="00230696" w:rsidRPr="003C17A7" w:rsidRDefault="00230696" w:rsidP="00230696">
      <w:pPr>
        <w:tabs>
          <w:tab w:val="left" w:pos="5103"/>
        </w:tabs>
        <w:spacing w:after="0" w:line="240" w:lineRule="auto"/>
        <w:contextualSpacing/>
        <w:rPr>
          <w:rFonts w:ascii="Calibri" w:eastAsia="Calibri" w:hAnsi="Calibri" w:cs="Times New Roman"/>
        </w:rPr>
      </w:pPr>
    </w:p>
    <w:p w:rsidR="00230696" w:rsidRPr="003C17A7" w:rsidRDefault="00230696" w:rsidP="00230696">
      <w:pPr>
        <w:tabs>
          <w:tab w:val="left" w:pos="5103"/>
        </w:tabs>
        <w:spacing w:after="0" w:line="240" w:lineRule="auto"/>
        <w:contextualSpacing/>
        <w:rPr>
          <w:rFonts w:ascii="Calibri" w:eastAsia="Calibri" w:hAnsi="Calibri" w:cs="Times New Roman"/>
        </w:rPr>
      </w:pPr>
    </w:p>
    <w:p w:rsidR="00230696" w:rsidRPr="003C17A7" w:rsidRDefault="00230696" w:rsidP="00230696">
      <w:pPr>
        <w:tabs>
          <w:tab w:val="left" w:pos="5103"/>
        </w:tabs>
        <w:spacing w:after="0" w:line="240" w:lineRule="auto"/>
        <w:contextualSpacing/>
        <w:rPr>
          <w:rFonts w:ascii="Calibri" w:eastAsia="Calibri" w:hAnsi="Calibri" w:cs="Times New Roman"/>
        </w:rPr>
      </w:pPr>
    </w:p>
    <w:p w:rsidR="00230696" w:rsidRPr="003C17A7" w:rsidRDefault="00230696" w:rsidP="00230696">
      <w:pPr>
        <w:tabs>
          <w:tab w:val="left" w:pos="5103"/>
        </w:tabs>
        <w:spacing w:after="0" w:line="240" w:lineRule="auto"/>
        <w:contextualSpacing/>
        <w:rPr>
          <w:rFonts w:ascii="Calibri" w:eastAsia="Calibri" w:hAnsi="Calibri" w:cs="Times New Roman"/>
        </w:rPr>
      </w:pPr>
    </w:p>
    <w:p w:rsidR="00230696" w:rsidRPr="003C17A7" w:rsidRDefault="00230696" w:rsidP="00230696">
      <w:pPr>
        <w:tabs>
          <w:tab w:val="left" w:pos="5103"/>
        </w:tabs>
        <w:spacing w:after="0" w:line="240" w:lineRule="auto"/>
        <w:contextualSpacing/>
        <w:rPr>
          <w:rFonts w:ascii="Calibri" w:eastAsia="Calibri" w:hAnsi="Calibri" w:cs="Times New Roman"/>
        </w:rPr>
      </w:pPr>
    </w:p>
    <w:p w:rsidR="00230696" w:rsidRPr="00230696" w:rsidRDefault="00230696" w:rsidP="00230696">
      <w:pPr>
        <w:tabs>
          <w:tab w:val="left" w:pos="5103"/>
        </w:tabs>
        <w:spacing w:after="0" w:line="240" w:lineRule="auto"/>
        <w:contextualSpacing/>
        <w:rPr>
          <w:rFonts w:ascii="Calibri" w:eastAsia="Calibri" w:hAnsi="Calibri" w:cs="Times New Roman"/>
          <w:b/>
        </w:rPr>
      </w:pPr>
      <w:r w:rsidRPr="003C17A7">
        <w:rPr>
          <w:rFonts w:ascii="Calibri" w:eastAsia="Calibri" w:hAnsi="Calibri" w:cs="Times New Roman"/>
          <w:b/>
        </w:rPr>
        <w:t>Pour la CGT Capgemini</w:t>
      </w:r>
      <w:r w:rsidRPr="003C17A7">
        <w:rPr>
          <w:rFonts w:ascii="Calibri" w:eastAsia="Calibri" w:hAnsi="Calibri" w:cs="Times New Roman"/>
          <w:b/>
        </w:rPr>
        <w:tab/>
        <w:t>Pour FO</w:t>
      </w:r>
    </w:p>
    <w:p w:rsidR="00230696" w:rsidRPr="00230696" w:rsidRDefault="00230696" w:rsidP="00230696">
      <w:pPr>
        <w:spacing w:line="256" w:lineRule="auto"/>
        <w:rPr>
          <w:rFonts w:ascii="Calibri" w:eastAsia="Calibri" w:hAnsi="Calibri" w:cs="Times New Roman"/>
        </w:rPr>
      </w:pPr>
    </w:p>
    <w:p w:rsidR="00230696" w:rsidRPr="00230696" w:rsidRDefault="00230696" w:rsidP="00230696"/>
    <w:sectPr w:rsidR="00230696" w:rsidRPr="002306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AA" w:rsidRDefault="002251AA">
      <w:pPr>
        <w:spacing w:after="0" w:line="240" w:lineRule="auto"/>
      </w:pPr>
      <w:r>
        <w:separator/>
      </w:r>
    </w:p>
  </w:endnote>
  <w:endnote w:type="continuationSeparator" w:id="0">
    <w:p w:rsidR="002251AA" w:rsidRDefault="0022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56414499"/>
      <w:docPartObj>
        <w:docPartGallery w:val="Page Numbers (Bottom of Page)"/>
        <w:docPartUnique/>
      </w:docPartObj>
    </w:sdtPr>
    <w:sdtEndPr/>
    <w:sdtContent>
      <w:p w:rsidR="007C59CD" w:rsidRPr="00AC3BA5" w:rsidRDefault="00AC3BA5" w:rsidP="007C59CD">
        <w:pPr>
          <w:pStyle w:val="Pieddepage"/>
          <w:rPr>
            <w:rFonts w:asciiTheme="minorHAnsi" w:eastAsiaTheme="minorHAnsi" w:hAnsiTheme="minorHAnsi" w:cstheme="minorBidi"/>
            <w:sz w:val="16"/>
            <w:szCs w:val="16"/>
          </w:rPr>
        </w:pPr>
        <w:r>
          <w:rPr>
            <w:sz w:val="16"/>
            <w:szCs w:val="16"/>
          </w:rPr>
          <w:t>A</w:t>
        </w:r>
        <w:r w:rsidR="007C59CD" w:rsidRPr="00077FF0">
          <w:rPr>
            <w:rFonts w:asciiTheme="minorHAnsi" w:eastAsiaTheme="minorHAnsi" w:hAnsiTheme="minorHAnsi" w:cstheme="minorBidi"/>
            <w:sz w:val="16"/>
            <w:szCs w:val="16"/>
          </w:rPr>
          <w:t xml:space="preserve">venant n°3 </w:t>
        </w:r>
        <w:r w:rsidR="00236B4F">
          <w:rPr>
            <w:rFonts w:asciiTheme="minorHAnsi" w:eastAsiaTheme="minorHAnsi" w:hAnsiTheme="minorHAnsi" w:cstheme="minorBidi"/>
            <w:sz w:val="16"/>
            <w:szCs w:val="16"/>
          </w:rPr>
          <w:t>du 9</w:t>
        </w:r>
        <w:r>
          <w:rPr>
            <w:rFonts w:asciiTheme="minorHAnsi" w:eastAsiaTheme="minorHAnsi" w:hAnsiTheme="minorHAnsi" w:cstheme="minorBidi"/>
            <w:sz w:val="16"/>
            <w:szCs w:val="16"/>
          </w:rPr>
          <w:t xml:space="preserve"> novembre 2017 </w:t>
        </w:r>
        <w:r w:rsidR="007C59CD" w:rsidRPr="00077FF0">
          <w:rPr>
            <w:rFonts w:asciiTheme="minorHAnsi" w:eastAsiaTheme="minorHAnsi" w:hAnsiTheme="minorHAnsi" w:cstheme="minorBidi"/>
            <w:sz w:val="16"/>
            <w:szCs w:val="16"/>
          </w:rPr>
          <w:t xml:space="preserve">à l’accord du 2 octobre 2006 sur le régime de remboursement des frais médicaux au sein de l’UES Capgemini </w:t>
        </w:r>
        <w:r w:rsidR="007C59CD" w:rsidRPr="00077FF0">
          <w:rPr>
            <w:rFonts w:asciiTheme="minorHAnsi" w:eastAsiaTheme="minorHAnsi" w:hAnsiTheme="minorHAnsi" w:cstheme="minorBidi"/>
            <w:sz w:val="16"/>
            <w:szCs w:val="16"/>
          </w:rPr>
          <w:tab/>
        </w:r>
        <w:r w:rsidR="007C59CD" w:rsidRPr="00077FF0">
          <w:rPr>
            <w:rFonts w:asciiTheme="minorHAnsi" w:eastAsiaTheme="minorHAnsi" w:hAnsiTheme="minorHAnsi" w:cstheme="minorBidi"/>
            <w:sz w:val="16"/>
            <w:szCs w:val="16"/>
          </w:rPr>
          <w:tab/>
        </w:r>
        <w:r w:rsidR="007C59CD" w:rsidRPr="00077FF0">
          <w:rPr>
            <w:sz w:val="16"/>
            <w:szCs w:val="16"/>
          </w:rPr>
          <w:fldChar w:fldCharType="begin"/>
        </w:r>
        <w:r w:rsidR="007C59CD" w:rsidRPr="00077FF0">
          <w:rPr>
            <w:sz w:val="16"/>
            <w:szCs w:val="16"/>
          </w:rPr>
          <w:instrText>PAGE   \* MERGEFORMAT</w:instrText>
        </w:r>
        <w:r w:rsidR="007C59CD" w:rsidRPr="00077FF0">
          <w:rPr>
            <w:sz w:val="16"/>
            <w:szCs w:val="16"/>
          </w:rPr>
          <w:fldChar w:fldCharType="separate"/>
        </w:r>
        <w:r w:rsidR="003C17A7">
          <w:rPr>
            <w:noProof/>
            <w:sz w:val="16"/>
            <w:szCs w:val="16"/>
          </w:rPr>
          <w:t>9</w:t>
        </w:r>
        <w:r w:rsidR="007C59CD" w:rsidRPr="00077FF0">
          <w:rPr>
            <w:sz w:val="16"/>
            <w:szCs w:val="16"/>
          </w:rPr>
          <w:fldChar w:fldCharType="end"/>
        </w:r>
      </w:p>
    </w:sdtContent>
  </w:sdt>
  <w:p w:rsidR="007C59CD" w:rsidRPr="00077FF0" w:rsidRDefault="007C59CD">
    <w:pPr>
      <w:pStyle w:val="Pieddepag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AA" w:rsidRDefault="002251AA">
      <w:pPr>
        <w:spacing w:after="0" w:line="240" w:lineRule="auto"/>
      </w:pPr>
      <w:r>
        <w:separator/>
      </w:r>
    </w:p>
  </w:footnote>
  <w:footnote w:type="continuationSeparator" w:id="0">
    <w:p w:rsidR="002251AA" w:rsidRDefault="00225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64AA2"/>
    <w:multiLevelType w:val="hybridMultilevel"/>
    <w:tmpl w:val="34867EFC"/>
    <w:lvl w:ilvl="0" w:tplc="16F40B3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96"/>
    <w:rsid w:val="0009448F"/>
    <w:rsid w:val="001E04B7"/>
    <w:rsid w:val="002251AA"/>
    <w:rsid w:val="00230696"/>
    <w:rsid w:val="00236B4F"/>
    <w:rsid w:val="002A117D"/>
    <w:rsid w:val="00374C2B"/>
    <w:rsid w:val="003C17A7"/>
    <w:rsid w:val="003D4EB3"/>
    <w:rsid w:val="0045188D"/>
    <w:rsid w:val="0045450F"/>
    <w:rsid w:val="004A7EB8"/>
    <w:rsid w:val="004C1931"/>
    <w:rsid w:val="00501AC5"/>
    <w:rsid w:val="00550B57"/>
    <w:rsid w:val="005F59B8"/>
    <w:rsid w:val="0061712A"/>
    <w:rsid w:val="0063163C"/>
    <w:rsid w:val="006B369D"/>
    <w:rsid w:val="00703770"/>
    <w:rsid w:val="0070594C"/>
    <w:rsid w:val="00755D83"/>
    <w:rsid w:val="00777DDB"/>
    <w:rsid w:val="007C59CD"/>
    <w:rsid w:val="0082399E"/>
    <w:rsid w:val="00855580"/>
    <w:rsid w:val="008801DB"/>
    <w:rsid w:val="008A22C2"/>
    <w:rsid w:val="008A6432"/>
    <w:rsid w:val="008E39D2"/>
    <w:rsid w:val="009D7EAB"/>
    <w:rsid w:val="009E5169"/>
    <w:rsid w:val="009F3366"/>
    <w:rsid w:val="00A661DC"/>
    <w:rsid w:val="00AB3531"/>
    <w:rsid w:val="00AC3BA5"/>
    <w:rsid w:val="00B22107"/>
    <w:rsid w:val="00C23565"/>
    <w:rsid w:val="00C957FE"/>
    <w:rsid w:val="00D42784"/>
    <w:rsid w:val="00E4437B"/>
    <w:rsid w:val="00E63E12"/>
    <w:rsid w:val="00E8006D"/>
    <w:rsid w:val="00F44EE1"/>
    <w:rsid w:val="00FC7300"/>
    <w:rsid w:val="00FD5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AD881-FCE3-40DD-A747-F95006A2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306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30696"/>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230696"/>
    <w:rPr>
      <w:rFonts w:ascii="Calibri" w:eastAsia="Calibri" w:hAnsi="Calibri" w:cs="Times New Roman"/>
    </w:rPr>
  </w:style>
  <w:style w:type="paragraph" w:styleId="Pieddepage">
    <w:name w:val="footer"/>
    <w:basedOn w:val="Normal"/>
    <w:link w:val="PieddepageCar"/>
    <w:uiPriority w:val="99"/>
    <w:unhideWhenUsed/>
    <w:rsid w:val="00230696"/>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230696"/>
    <w:rPr>
      <w:rFonts w:ascii="Calibri" w:eastAsia="Calibri" w:hAnsi="Calibri" w:cs="Times New Roman"/>
    </w:rPr>
  </w:style>
  <w:style w:type="table" w:customStyle="1" w:styleId="Grilledutableau1">
    <w:name w:val="Grille du tableau1"/>
    <w:basedOn w:val="TableauNormal"/>
    <w:next w:val="Grilledutableau"/>
    <w:uiPriority w:val="39"/>
    <w:rsid w:val="0023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A62A1-0A80-49D0-A06D-F88C6E93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2400</Words>
  <Characters>13201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Capgemini</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COGET, Pierre-Alain</dc:creator>
  <cp:keywords/>
  <dc:description/>
  <cp:lastModifiedBy>COGET, Pierre-Alain</cp:lastModifiedBy>
  <cp:revision>3</cp:revision>
  <dcterms:created xsi:type="dcterms:W3CDTF">2017-11-08T09:27:00Z</dcterms:created>
  <dcterms:modified xsi:type="dcterms:W3CDTF">2017-11-08T09:27:00Z</dcterms:modified>
</cp:coreProperties>
</file>