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F7A" w:rsidRPr="00340708" w:rsidRDefault="003C2F7A" w:rsidP="003C2F7A">
      <w:pPr>
        <w:spacing w:after="0" w:line="240" w:lineRule="auto"/>
      </w:pPr>
      <w:bookmarkStart w:id="0" w:name="_GoBack"/>
      <w:bookmarkEnd w:id="0"/>
    </w:p>
    <w:p w:rsidR="003C2F7A" w:rsidRPr="00340708" w:rsidRDefault="003C2F7A" w:rsidP="003C2F7A">
      <w:pPr>
        <w:spacing w:after="0" w:line="240" w:lineRule="auto"/>
      </w:pPr>
    </w:p>
    <w:p w:rsidR="003C2F7A" w:rsidRPr="00340708" w:rsidRDefault="003C2F7A" w:rsidP="003C2F7A">
      <w:pPr>
        <w:pBdr>
          <w:top w:val="single" w:sz="4" w:space="1" w:color="auto"/>
          <w:left w:val="single" w:sz="4" w:space="4" w:color="auto"/>
          <w:bottom w:val="single" w:sz="4" w:space="1" w:color="auto"/>
          <w:right w:val="single" w:sz="4" w:space="4" w:color="auto"/>
        </w:pBdr>
        <w:spacing w:after="0" w:line="240" w:lineRule="auto"/>
        <w:jc w:val="center"/>
        <w:rPr>
          <w:b/>
        </w:rPr>
      </w:pPr>
    </w:p>
    <w:p w:rsidR="003C2F7A" w:rsidRPr="00B25770" w:rsidRDefault="003C2F7A" w:rsidP="003C2F7A">
      <w:pPr>
        <w:pBdr>
          <w:top w:val="single" w:sz="4" w:space="1" w:color="auto"/>
          <w:left w:val="single" w:sz="4" w:space="4" w:color="auto"/>
          <w:bottom w:val="single" w:sz="4" w:space="1" w:color="auto"/>
          <w:right w:val="single" w:sz="4" w:space="4" w:color="auto"/>
        </w:pBdr>
        <w:spacing w:after="0" w:line="240" w:lineRule="auto"/>
        <w:jc w:val="center"/>
        <w:rPr>
          <w:b/>
        </w:rPr>
      </w:pPr>
      <w:r w:rsidRPr="00B25770">
        <w:rPr>
          <w:b/>
        </w:rPr>
        <w:t>AVENANT N°3</w:t>
      </w:r>
    </w:p>
    <w:p w:rsidR="003C2F7A" w:rsidRPr="00B25770" w:rsidRDefault="003C2F7A" w:rsidP="003C2F7A">
      <w:pPr>
        <w:pBdr>
          <w:top w:val="single" w:sz="4" w:space="1" w:color="auto"/>
          <w:left w:val="single" w:sz="4" w:space="4" w:color="auto"/>
          <w:bottom w:val="single" w:sz="4" w:space="1" w:color="auto"/>
          <w:right w:val="single" w:sz="4" w:space="4" w:color="auto"/>
        </w:pBdr>
        <w:spacing w:after="0" w:line="240" w:lineRule="auto"/>
        <w:jc w:val="center"/>
        <w:rPr>
          <w:b/>
        </w:rPr>
      </w:pPr>
    </w:p>
    <w:p w:rsidR="003C2F7A" w:rsidRPr="00B25770" w:rsidRDefault="003C2F7A" w:rsidP="003C2F7A">
      <w:pPr>
        <w:pBdr>
          <w:top w:val="single" w:sz="4" w:space="1" w:color="auto"/>
          <w:left w:val="single" w:sz="4" w:space="4" w:color="auto"/>
          <w:bottom w:val="single" w:sz="4" w:space="1" w:color="auto"/>
          <w:right w:val="single" w:sz="4" w:space="4" w:color="auto"/>
        </w:pBdr>
        <w:spacing w:after="0" w:line="240" w:lineRule="auto"/>
        <w:jc w:val="center"/>
        <w:rPr>
          <w:b/>
        </w:rPr>
      </w:pPr>
      <w:r w:rsidRPr="00B25770">
        <w:rPr>
          <w:b/>
        </w:rPr>
        <w:t>A L’ACCORD DU 2 OCTOBRE 2006 SUR LE REGIME DE PREVOYANCE</w:t>
      </w:r>
    </w:p>
    <w:p w:rsidR="003C2F7A" w:rsidRPr="00B25770" w:rsidRDefault="003C2F7A" w:rsidP="003C2F7A">
      <w:pPr>
        <w:pBdr>
          <w:top w:val="single" w:sz="4" w:space="1" w:color="auto"/>
          <w:left w:val="single" w:sz="4" w:space="4" w:color="auto"/>
          <w:bottom w:val="single" w:sz="4" w:space="1" w:color="auto"/>
          <w:right w:val="single" w:sz="4" w:space="4" w:color="auto"/>
        </w:pBdr>
        <w:spacing w:after="0" w:line="240" w:lineRule="auto"/>
        <w:jc w:val="center"/>
        <w:rPr>
          <w:b/>
        </w:rPr>
      </w:pPr>
    </w:p>
    <w:p w:rsidR="003C2F7A" w:rsidRPr="00B25770" w:rsidRDefault="003C2F7A" w:rsidP="003C2F7A">
      <w:pPr>
        <w:pBdr>
          <w:top w:val="single" w:sz="4" w:space="1" w:color="auto"/>
          <w:left w:val="single" w:sz="4" w:space="4" w:color="auto"/>
          <w:bottom w:val="single" w:sz="4" w:space="1" w:color="auto"/>
          <w:right w:val="single" w:sz="4" w:space="4" w:color="auto"/>
        </w:pBdr>
        <w:spacing w:after="0" w:line="240" w:lineRule="auto"/>
        <w:jc w:val="center"/>
        <w:rPr>
          <w:b/>
        </w:rPr>
      </w:pPr>
      <w:r w:rsidRPr="00B25770">
        <w:rPr>
          <w:b/>
        </w:rPr>
        <w:t>DE L’UNITE ECONOMIQUE ET SOCIALE CAPGEMINI</w:t>
      </w:r>
    </w:p>
    <w:p w:rsidR="003C2F7A" w:rsidRPr="00B25770" w:rsidRDefault="003C2F7A" w:rsidP="003C2F7A">
      <w:pPr>
        <w:pBdr>
          <w:top w:val="single" w:sz="4" w:space="1" w:color="auto"/>
          <w:left w:val="single" w:sz="4" w:space="4" w:color="auto"/>
          <w:bottom w:val="single" w:sz="4" w:space="1" w:color="auto"/>
          <w:right w:val="single" w:sz="4" w:space="4" w:color="auto"/>
        </w:pBdr>
        <w:spacing w:after="0" w:line="240" w:lineRule="auto"/>
        <w:jc w:val="center"/>
        <w:rPr>
          <w:b/>
        </w:rPr>
      </w:pPr>
    </w:p>
    <w:p w:rsidR="003C2F7A" w:rsidRPr="00B25770" w:rsidRDefault="003C2F7A" w:rsidP="003C2F7A">
      <w:pPr>
        <w:spacing w:after="0" w:line="240" w:lineRule="auto"/>
      </w:pPr>
    </w:p>
    <w:p w:rsidR="003C2F7A" w:rsidRPr="00B25770" w:rsidRDefault="003C2F7A" w:rsidP="003C2F7A">
      <w:pPr>
        <w:spacing w:after="0" w:line="240" w:lineRule="auto"/>
      </w:pPr>
    </w:p>
    <w:p w:rsidR="003C2F7A" w:rsidRPr="00B25770" w:rsidRDefault="003C2F7A" w:rsidP="003C2F7A">
      <w:pPr>
        <w:spacing w:after="0" w:line="240" w:lineRule="auto"/>
      </w:pPr>
    </w:p>
    <w:p w:rsidR="003C2F7A" w:rsidRPr="00B25770" w:rsidRDefault="003C2F7A" w:rsidP="003C2F7A">
      <w:pPr>
        <w:spacing w:after="0" w:line="240" w:lineRule="auto"/>
      </w:pPr>
      <w:r w:rsidRPr="00B25770">
        <w:t>Entre :</w:t>
      </w:r>
    </w:p>
    <w:p w:rsidR="003C2F7A" w:rsidRPr="00B25770" w:rsidRDefault="003C2F7A" w:rsidP="003C2F7A">
      <w:pPr>
        <w:spacing w:after="0" w:line="240" w:lineRule="auto"/>
      </w:pPr>
    </w:p>
    <w:p w:rsidR="003C2F7A" w:rsidRPr="00B25770" w:rsidRDefault="003C2F7A" w:rsidP="003C2F7A">
      <w:pPr>
        <w:spacing w:after="0" w:line="240" w:lineRule="auto"/>
      </w:pPr>
    </w:p>
    <w:p w:rsidR="003C2F7A" w:rsidRPr="00B25770" w:rsidRDefault="003C2F7A" w:rsidP="003C2F7A">
      <w:pPr>
        <w:spacing w:after="0" w:line="240" w:lineRule="auto"/>
      </w:pPr>
      <w:r w:rsidRPr="00B25770">
        <w:rPr>
          <w:b/>
        </w:rPr>
        <w:t>Les sociétés de l’UES Capgemini</w:t>
      </w:r>
      <w:r w:rsidRPr="00B25770">
        <w:t>, représentées par ……………………………………………………………………………, dûment habilité</w:t>
      </w:r>
      <w:r w:rsidR="006149A8" w:rsidRPr="00B25770">
        <w:t>(e)</w:t>
      </w:r>
      <w:r w:rsidRPr="00B25770">
        <w:t xml:space="preserve">, </w:t>
      </w:r>
    </w:p>
    <w:p w:rsidR="003C2F7A" w:rsidRPr="00B25770" w:rsidRDefault="003C2F7A" w:rsidP="003C2F7A">
      <w:pPr>
        <w:spacing w:after="0" w:line="240" w:lineRule="auto"/>
        <w:jc w:val="right"/>
      </w:pPr>
      <w:r w:rsidRPr="00B25770">
        <w:t>d’une part,</w:t>
      </w:r>
    </w:p>
    <w:p w:rsidR="003C2F7A" w:rsidRPr="00B25770" w:rsidRDefault="003C2F7A" w:rsidP="003C2F7A">
      <w:pPr>
        <w:spacing w:after="0" w:line="240" w:lineRule="auto"/>
      </w:pPr>
    </w:p>
    <w:p w:rsidR="003C2F7A" w:rsidRPr="00B25770" w:rsidRDefault="003C2F7A" w:rsidP="003C2F7A">
      <w:pPr>
        <w:spacing w:after="0" w:line="240" w:lineRule="auto"/>
      </w:pPr>
    </w:p>
    <w:p w:rsidR="003C2F7A" w:rsidRPr="00B25770" w:rsidRDefault="003C2F7A" w:rsidP="003C2F7A">
      <w:pPr>
        <w:spacing w:after="0" w:line="240" w:lineRule="auto"/>
      </w:pPr>
      <w:r w:rsidRPr="00B25770">
        <w:t xml:space="preserve">Et </w:t>
      </w:r>
    </w:p>
    <w:p w:rsidR="003C2F7A" w:rsidRPr="00B25770" w:rsidRDefault="003C2F7A" w:rsidP="003C2F7A">
      <w:pPr>
        <w:spacing w:after="0" w:line="240" w:lineRule="auto"/>
      </w:pPr>
    </w:p>
    <w:p w:rsidR="003C2F7A" w:rsidRPr="00B25770" w:rsidRDefault="003C2F7A" w:rsidP="003C2F7A">
      <w:pPr>
        <w:spacing w:after="0" w:line="240" w:lineRule="auto"/>
      </w:pPr>
    </w:p>
    <w:p w:rsidR="003C2F7A" w:rsidRPr="00B25770" w:rsidRDefault="003C2F7A" w:rsidP="003C2F7A">
      <w:pPr>
        <w:spacing w:after="0" w:line="240" w:lineRule="auto"/>
      </w:pPr>
      <w:r w:rsidRPr="00B25770">
        <w:rPr>
          <w:b/>
        </w:rPr>
        <w:t>Les Organisations Syndicales représentatives</w:t>
      </w:r>
      <w:r w:rsidRPr="00B25770">
        <w:t>, à savoir :</w:t>
      </w:r>
    </w:p>
    <w:p w:rsidR="003C2F7A" w:rsidRPr="00B25770" w:rsidRDefault="003C2F7A" w:rsidP="003C2F7A">
      <w:pPr>
        <w:spacing w:after="0" w:line="240" w:lineRule="auto"/>
      </w:pPr>
    </w:p>
    <w:p w:rsidR="003C2F7A" w:rsidRPr="00B25770" w:rsidRDefault="003C2F7A" w:rsidP="003C2F7A">
      <w:pPr>
        <w:spacing w:after="0" w:line="240" w:lineRule="auto"/>
      </w:pPr>
    </w:p>
    <w:p w:rsidR="003C2F7A" w:rsidRPr="00B25770" w:rsidRDefault="003C2F7A" w:rsidP="003C2F7A">
      <w:pPr>
        <w:pStyle w:val="Paragraphedeliste"/>
        <w:numPr>
          <w:ilvl w:val="0"/>
          <w:numId w:val="1"/>
        </w:numPr>
        <w:spacing w:after="0" w:line="240" w:lineRule="auto"/>
      </w:pPr>
      <w:r w:rsidRPr="00B25770">
        <w:t>La F3C-CFDT, représentée par …………………………………………………………………………………………………</w:t>
      </w:r>
    </w:p>
    <w:p w:rsidR="003C2F7A" w:rsidRPr="00B25770" w:rsidRDefault="003C2F7A" w:rsidP="003C2F7A">
      <w:pPr>
        <w:pStyle w:val="Paragraphedeliste"/>
        <w:spacing w:after="0" w:line="240" w:lineRule="auto"/>
      </w:pPr>
    </w:p>
    <w:p w:rsidR="003C2F7A" w:rsidRPr="00B25770" w:rsidRDefault="003C2F7A" w:rsidP="003C2F7A">
      <w:pPr>
        <w:pStyle w:val="Paragraphedeliste"/>
        <w:spacing w:after="0" w:line="240" w:lineRule="auto"/>
      </w:pPr>
    </w:p>
    <w:p w:rsidR="003C2F7A" w:rsidRPr="00B25770" w:rsidRDefault="003C2F7A" w:rsidP="003C2F7A">
      <w:pPr>
        <w:pStyle w:val="Paragraphedeliste"/>
        <w:numPr>
          <w:ilvl w:val="0"/>
          <w:numId w:val="1"/>
        </w:numPr>
        <w:spacing w:after="0" w:line="240" w:lineRule="auto"/>
      </w:pPr>
      <w:r w:rsidRPr="00B25770">
        <w:t>Le syndicat SNEPSSP (CFE-CGC), représenté par ………………………………………………………………..……</w:t>
      </w:r>
    </w:p>
    <w:p w:rsidR="003C2F7A" w:rsidRPr="00B25770" w:rsidRDefault="003C2F7A" w:rsidP="003C2F7A">
      <w:pPr>
        <w:pStyle w:val="Paragraphedeliste"/>
        <w:spacing w:after="0" w:line="240" w:lineRule="auto"/>
      </w:pPr>
    </w:p>
    <w:p w:rsidR="003C2F7A" w:rsidRPr="00B25770" w:rsidRDefault="003C2F7A" w:rsidP="003C2F7A">
      <w:pPr>
        <w:pStyle w:val="Paragraphedeliste"/>
        <w:spacing w:after="0" w:line="240" w:lineRule="auto"/>
      </w:pPr>
    </w:p>
    <w:p w:rsidR="003C2F7A" w:rsidRPr="00B25770" w:rsidRDefault="003C2F7A" w:rsidP="003C2F7A">
      <w:pPr>
        <w:pStyle w:val="Paragraphedeliste"/>
        <w:numPr>
          <w:ilvl w:val="0"/>
          <w:numId w:val="1"/>
        </w:numPr>
        <w:spacing w:after="0" w:line="240" w:lineRule="auto"/>
      </w:pPr>
      <w:r w:rsidRPr="00B25770">
        <w:t>Le syndicat SICSTI (CFTC), représenté par ………………………….……………………………………………………</w:t>
      </w:r>
    </w:p>
    <w:p w:rsidR="003C2F7A" w:rsidRPr="00B25770" w:rsidRDefault="003C2F7A" w:rsidP="003C2F7A">
      <w:pPr>
        <w:pStyle w:val="Paragraphedeliste"/>
        <w:spacing w:after="0" w:line="240" w:lineRule="auto"/>
      </w:pPr>
    </w:p>
    <w:p w:rsidR="003C2F7A" w:rsidRPr="00B25770" w:rsidRDefault="003C2F7A" w:rsidP="003C2F7A">
      <w:pPr>
        <w:pStyle w:val="Paragraphedeliste"/>
        <w:spacing w:after="0" w:line="240" w:lineRule="auto"/>
      </w:pPr>
    </w:p>
    <w:p w:rsidR="003C2F7A" w:rsidRPr="00B25770" w:rsidRDefault="003C2F7A" w:rsidP="003C2F7A">
      <w:pPr>
        <w:pStyle w:val="Paragraphedeliste"/>
        <w:numPr>
          <w:ilvl w:val="0"/>
          <w:numId w:val="1"/>
        </w:numPr>
        <w:spacing w:after="0" w:line="240" w:lineRule="auto"/>
      </w:pPr>
      <w:r w:rsidRPr="00B25770">
        <w:t>La CGT Capgemini, représentée par …………………………………………………..……………………………………</w:t>
      </w:r>
    </w:p>
    <w:p w:rsidR="003C2F7A" w:rsidRPr="00B25770" w:rsidRDefault="003C2F7A" w:rsidP="003C2F7A">
      <w:pPr>
        <w:pStyle w:val="Paragraphedeliste"/>
        <w:spacing w:after="0" w:line="240" w:lineRule="auto"/>
      </w:pPr>
    </w:p>
    <w:p w:rsidR="003C2F7A" w:rsidRPr="00B25770" w:rsidRDefault="003C2F7A" w:rsidP="003C2F7A">
      <w:pPr>
        <w:pStyle w:val="Paragraphedeliste"/>
        <w:spacing w:after="0" w:line="240" w:lineRule="auto"/>
      </w:pPr>
    </w:p>
    <w:p w:rsidR="003C2F7A" w:rsidRPr="00B25770" w:rsidRDefault="003C2F7A" w:rsidP="003C2F7A">
      <w:pPr>
        <w:pStyle w:val="Paragraphedeliste"/>
        <w:numPr>
          <w:ilvl w:val="0"/>
          <w:numId w:val="1"/>
        </w:numPr>
        <w:spacing w:after="0" w:line="240" w:lineRule="auto"/>
      </w:pPr>
      <w:r w:rsidRPr="00B25770">
        <w:t>FO, représentée par …………………………………………………………………………..……………………………………</w:t>
      </w:r>
    </w:p>
    <w:p w:rsidR="003C2F7A" w:rsidRPr="00B25770" w:rsidRDefault="003C2F7A" w:rsidP="003C2F7A">
      <w:pPr>
        <w:pStyle w:val="Paragraphedeliste"/>
        <w:spacing w:after="0" w:line="240" w:lineRule="auto"/>
      </w:pPr>
    </w:p>
    <w:p w:rsidR="003C2F7A" w:rsidRPr="00B25770" w:rsidRDefault="003C2F7A" w:rsidP="003C2F7A">
      <w:pPr>
        <w:pStyle w:val="Paragraphedeliste"/>
        <w:spacing w:after="0" w:line="240" w:lineRule="auto"/>
      </w:pPr>
    </w:p>
    <w:p w:rsidR="003C2F7A" w:rsidRPr="00B25770" w:rsidRDefault="003C2F7A" w:rsidP="003C2F7A">
      <w:pPr>
        <w:pStyle w:val="Paragraphedeliste"/>
        <w:spacing w:after="0" w:line="240" w:lineRule="auto"/>
        <w:jc w:val="right"/>
      </w:pPr>
      <w:r w:rsidRPr="00B25770">
        <w:t>d’autre part,</w:t>
      </w:r>
    </w:p>
    <w:p w:rsidR="003C2F7A" w:rsidRPr="00B25770" w:rsidRDefault="003C2F7A" w:rsidP="003C2F7A">
      <w:pPr>
        <w:pStyle w:val="Paragraphedeliste"/>
        <w:spacing w:after="0" w:line="240" w:lineRule="auto"/>
      </w:pPr>
    </w:p>
    <w:p w:rsidR="003C2F7A" w:rsidRPr="00B25770" w:rsidRDefault="003C2F7A" w:rsidP="003C2F7A">
      <w:pPr>
        <w:pStyle w:val="Paragraphedeliste"/>
        <w:spacing w:after="0" w:line="240" w:lineRule="auto"/>
        <w:ind w:left="0"/>
      </w:pPr>
    </w:p>
    <w:p w:rsidR="003C2F7A" w:rsidRPr="00B25770" w:rsidRDefault="003C2F7A" w:rsidP="003C2F7A">
      <w:pPr>
        <w:pStyle w:val="Paragraphedeliste"/>
        <w:spacing w:after="0" w:line="240" w:lineRule="auto"/>
        <w:ind w:left="0"/>
      </w:pPr>
      <w:r w:rsidRPr="00B25770">
        <w:t>ci-après collectivement dénommées « les Parties »,</w:t>
      </w:r>
    </w:p>
    <w:p w:rsidR="003C2F7A" w:rsidRPr="00B25770" w:rsidRDefault="003C2F7A" w:rsidP="003C2F7A">
      <w:pPr>
        <w:pStyle w:val="Paragraphedeliste"/>
        <w:spacing w:after="0" w:line="240" w:lineRule="auto"/>
        <w:ind w:left="0"/>
      </w:pPr>
    </w:p>
    <w:p w:rsidR="003C2F7A" w:rsidRPr="00B25770" w:rsidRDefault="003C2F7A" w:rsidP="003C2F7A">
      <w:pPr>
        <w:pStyle w:val="Paragraphedeliste"/>
        <w:spacing w:after="0" w:line="240" w:lineRule="auto"/>
        <w:ind w:left="0"/>
      </w:pPr>
    </w:p>
    <w:p w:rsidR="003C2F7A" w:rsidRPr="00B25770" w:rsidRDefault="003C2F7A" w:rsidP="003C2F7A">
      <w:pPr>
        <w:pStyle w:val="Paragraphedeliste"/>
        <w:spacing w:after="0" w:line="240" w:lineRule="auto"/>
        <w:ind w:left="0"/>
      </w:pPr>
      <w:r w:rsidRPr="00B25770">
        <w:t>Il est convenu ce qui suit :</w:t>
      </w:r>
    </w:p>
    <w:p w:rsidR="003C2F7A" w:rsidRPr="00B25770" w:rsidRDefault="003C2F7A" w:rsidP="003C2F7A">
      <w:pPr>
        <w:pStyle w:val="Paragraphedeliste"/>
        <w:spacing w:after="0" w:line="240" w:lineRule="auto"/>
        <w:ind w:left="0"/>
      </w:pPr>
    </w:p>
    <w:p w:rsidR="003C2F7A" w:rsidRPr="00B25770" w:rsidRDefault="003C2F7A" w:rsidP="003C2F7A">
      <w:pPr>
        <w:spacing w:after="0" w:line="240" w:lineRule="auto"/>
      </w:pPr>
      <w:r w:rsidRPr="00B25770">
        <w:br w:type="page"/>
      </w:r>
    </w:p>
    <w:p w:rsidR="003C2F7A" w:rsidRPr="00B25770" w:rsidRDefault="003C2F7A" w:rsidP="003C2F7A">
      <w:pPr>
        <w:pStyle w:val="Paragraphedeliste"/>
        <w:spacing w:after="0" w:line="240" w:lineRule="auto"/>
        <w:ind w:left="0"/>
        <w:jc w:val="both"/>
      </w:pPr>
    </w:p>
    <w:p w:rsidR="003C2F7A" w:rsidRPr="00B25770" w:rsidRDefault="003C2F7A" w:rsidP="003C2F7A">
      <w:pPr>
        <w:pStyle w:val="Paragraphedeliste"/>
        <w:spacing w:after="0" w:line="240" w:lineRule="auto"/>
        <w:ind w:left="0"/>
        <w:jc w:val="both"/>
        <w:rPr>
          <w:b/>
        </w:rPr>
      </w:pPr>
      <w:r w:rsidRPr="00B25770">
        <w:rPr>
          <w:b/>
        </w:rPr>
        <w:t>PREAMBULE</w:t>
      </w:r>
    </w:p>
    <w:p w:rsidR="003C2F7A" w:rsidRPr="00B25770" w:rsidRDefault="003C2F7A" w:rsidP="003C2F7A">
      <w:pPr>
        <w:pStyle w:val="Paragraphedeliste"/>
        <w:spacing w:after="0" w:line="240" w:lineRule="auto"/>
        <w:ind w:left="0"/>
        <w:jc w:val="both"/>
      </w:pPr>
    </w:p>
    <w:p w:rsidR="003C2F7A" w:rsidRPr="00B25770" w:rsidRDefault="003C2F7A" w:rsidP="003C2F7A">
      <w:pPr>
        <w:pStyle w:val="Paragraphedeliste"/>
        <w:spacing w:after="0" w:line="240" w:lineRule="auto"/>
        <w:ind w:left="0"/>
        <w:jc w:val="both"/>
      </w:pPr>
      <w:r w:rsidRPr="00B25770">
        <w:t>Eu égard au déficit structurel du régime, les Parties se sont réunies en vue d’adopter des mesures visant  à atteindre l’équilibre des résultat</w:t>
      </w:r>
      <w:r w:rsidR="000C4DF9" w:rsidRPr="00B25770">
        <w:t xml:space="preserve">s et à </w:t>
      </w:r>
      <w:r w:rsidR="00805253" w:rsidRPr="00B25770">
        <w:t xml:space="preserve"> maintenir ce dernier </w:t>
      </w:r>
      <w:r w:rsidRPr="00B25770">
        <w:t>dans le temps.</w:t>
      </w:r>
    </w:p>
    <w:p w:rsidR="003C2F7A" w:rsidRPr="00B25770" w:rsidRDefault="003C2F7A" w:rsidP="003C2F7A">
      <w:pPr>
        <w:pStyle w:val="Paragraphedeliste"/>
        <w:spacing w:after="0" w:line="240" w:lineRule="auto"/>
        <w:ind w:left="0"/>
        <w:jc w:val="both"/>
      </w:pPr>
    </w:p>
    <w:p w:rsidR="003C2F7A" w:rsidRPr="00B25770" w:rsidRDefault="003C2F7A" w:rsidP="003C2F7A">
      <w:pPr>
        <w:pStyle w:val="Paragraphedeliste"/>
        <w:spacing w:after="0" w:line="240" w:lineRule="auto"/>
        <w:ind w:left="0"/>
        <w:jc w:val="both"/>
      </w:pPr>
    </w:p>
    <w:p w:rsidR="003C2F7A" w:rsidRPr="00B25770" w:rsidRDefault="003C2F7A" w:rsidP="003C2F7A">
      <w:pPr>
        <w:pStyle w:val="Paragraphedeliste"/>
        <w:spacing w:after="0" w:line="240" w:lineRule="auto"/>
        <w:ind w:left="0"/>
        <w:jc w:val="both"/>
        <w:rPr>
          <w:b/>
          <w:u w:val="single"/>
        </w:rPr>
      </w:pPr>
      <w:r w:rsidRPr="00B25770">
        <w:rPr>
          <w:b/>
          <w:u w:val="single"/>
        </w:rPr>
        <w:t>ARTICLE 1</w:t>
      </w:r>
      <w:r w:rsidRPr="00B25770">
        <w:rPr>
          <w:b/>
        </w:rPr>
        <w:tab/>
      </w:r>
      <w:r w:rsidRPr="00B25770">
        <w:rPr>
          <w:b/>
          <w:u w:val="single"/>
        </w:rPr>
        <w:t>INFORMATION DU COMITE CENTRAL D’ENTREPRISE</w:t>
      </w:r>
    </w:p>
    <w:p w:rsidR="003C2F7A" w:rsidRPr="00B25770" w:rsidRDefault="003C2F7A" w:rsidP="003C2F7A">
      <w:pPr>
        <w:pStyle w:val="Paragraphedeliste"/>
        <w:spacing w:after="0" w:line="240" w:lineRule="auto"/>
        <w:ind w:left="0"/>
        <w:jc w:val="both"/>
      </w:pPr>
    </w:p>
    <w:p w:rsidR="003C2F7A" w:rsidRPr="00B25770" w:rsidRDefault="003C2F7A" w:rsidP="003C2F7A">
      <w:pPr>
        <w:pStyle w:val="Paragraphedeliste"/>
        <w:spacing w:after="0" w:line="240" w:lineRule="auto"/>
        <w:ind w:left="0"/>
        <w:jc w:val="both"/>
      </w:pPr>
      <w:r w:rsidRPr="00B25770">
        <w:t xml:space="preserve">Le présent article modifie l’article 3 (« Prestations ») de l’accord susmentionné du 2 octobre 2006 en ce que chaque révision à venir dudit accord donnera lieu à une information du Comité Central d’Entreprise. </w:t>
      </w:r>
    </w:p>
    <w:p w:rsidR="003C2F7A" w:rsidRPr="00B25770" w:rsidRDefault="003C2F7A" w:rsidP="003C2F7A">
      <w:pPr>
        <w:pStyle w:val="Paragraphedeliste"/>
        <w:spacing w:after="0" w:line="240" w:lineRule="auto"/>
        <w:ind w:left="0"/>
        <w:jc w:val="both"/>
      </w:pPr>
    </w:p>
    <w:p w:rsidR="003C2F7A" w:rsidRPr="00B25770" w:rsidRDefault="003C2F7A" w:rsidP="003C2F7A">
      <w:pPr>
        <w:pStyle w:val="Paragraphedeliste"/>
        <w:spacing w:after="0" w:line="240" w:lineRule="auto"/>
        <w:ind w:left="0"/>
        <w:jc w:val="both"/>
      </w:pPr>
      <w:r w:rsidRPr="00B25770">
        <w:t>Les autres dispositions de l’article 3 de l’accord initial demeurent inchangées.</w:t>
      </w:r>
    </w:p>
    <w:p w:rsidR="003C2F7A" w:rsidRPr="00B25770" w:rsidRDefault="003C2F7A" w:rsidP="003C2F7A">
      <w:pPr>
        <w:pStyle w:val="Paragraphedeliste"/>
        <w:spacing w:after="0" w:line="240" w:lineRule="auto"/>
        <w:ind w:left="0"/>
        <w:jc w:val="both"/>
        <w:rPr>
          <w:b/>
        </w:rPr>
      </w:pPr>
    </w:p>
    <w:p w:rsidR="003C2F7A" w:rsidRPr="00B25770" w:rsidRDefault="003C2F7A" w:rsidP="003C2F7A">
      <w:pPr>
        <w:pStyle w:val="Paragraphedeliste"/>
        <w:spacing w:after="0" w:line="240" w:lineRule="auto"/>
        <w:ind w:left="0"/>
        <w:jc w:val="both"/>
      </w:pPr>
    </w:p>
    <w:p w:rsidR="001145F7" w:rsidRPr="00B25770" w:rsidRDefault="003C2F7A" w:rsidP="001145F7">
      <w:pPr>
        <w:spacing w:after="0" w:line="240" w:lineRule="auto"/>
        <w:rPr>
          <w:b/>
        </w:rPr>
      </w:pPr>
      <w:r w:rsidRPr="00B25770">
        <w:rPr>
          <w:b/>
          <w:u w:val="single"/>
        </w:rPr>
        <w:t>ARTICLE 2</w:t>
      </w:r>
      <w:r w:rsidRPr="00B25770">
        <w:rPr>
          <w:b/>
        </w:rPr>
        <w:tab/>
      </w:r>
      <w:r w:rsidR="001145F7" w:rsidRPr="00B25770">
        <w:rPr>
          <w:rFonts w:ascii="Calibri" w:eastAsia="Calibri" w:hAnsi="Calibri" w:cs="Times New Roman"/>
          <w:b/>
          <w:u w:val="single"/>
        </w:rPr>
        <w:t>DEFINITION DES CATEGORIES OBJECTIVES</w:t>
      </w:r>
    </w:p>
    <w:p w:rsidR="001145F7" w:rsidRPr="00B25770" w:rsidRDefault="001145F7" w:rsidP="001145F7">
      <w:pPr>
        <w:spacing w:after="0" w:line="240" w:lineRule="auto"/>
        <w:contextualSpacing/>
        <w:jc w:val="both"/>
        <w:rPr>
          <w:rFonts w:ascii="Calibri" w:eastAsia="Calibri" w:hAnsi="Calibri" w:cs="Times New Roman"/>
          <w:b/>
          <w:u w:val="single"/>
        </w:rPr>
      </w:pPr>
    </w:p>
    <w:p w:rsidR="00FE11D2" w:rsidRPr="00B25770" w:rsidRDefault="00FE11D2" w:rsidP="00FE11D2">
      <w:pPr>
        <w:spacing w:after="0" w:line="240" w:lineRule="auto"/>
        <w:contextualSpacing/>
        <w:jc w:val="both"/>
        <w:rPr>
          <w:rFonts w:ascii="Calibri" w:eastAsia="Calibri" w:hAnsi="Calibri" w:cs="Times New Roman"/>
        </w:rPr>
      </w:pPr>
      <w:r w:rsidRPr="00B25770">
        <w:rPr>
          <w:rFonts w:ascii="Calibri" w:eastAsia="Calibri" w:hAnsi="Calibri" w:cs="Times New Roman"/>
        </w:rPr>
        <w:t>Le présent article modifie l’artic</w:t>
      </w:r>
      <w:r w:rsidR="006149A8" w:rsidRPr="00B25770">
        <w:rPr>
          <w:rFonts w:ascii="Calibri" w:eastAsia="Calibri" w:hAnsi="Calibri" w:cs="Times New Roman"/>
        </w:rPr>
        <w:t>le 3 de l’avenant n°1 du 15 novembre</w:t>
      </w:r>
      <w:r w:rsidRPr="00B25770">
        <w:rPr>
          <w:rFonts w:ascii="Calibri" w:eastAsia="Calibri" w:hAnsi="Calibri" w:cs="Times New Roman"/>
        </w:rPr>
        <w:t xml:space="preserve"> 2013 à l’accord du 2 octobre 2006. Il définit désormais les catégories objectives selon la classification suivante : </w:t>
      </w:r>
    </w:p>
    <w:p w:rsidR="001145F7" w:rsidRPr="00B25770" w:rsidRDefault="001145F7" w:rsidP="001145F7">
      <w:pPr>
        <w:spacing w:after="0" w:line="240" w:lineRule="auto"/>
        <w:contextualSpacing/>
        <w:jc w:val="both"/>
        <w:rPr>
          <w:rFonts w:ascii="Calibri" w:eastAsia="Calibri" w:hAnsi="Calibri" w:cs="Times New Roman"/>
        </w:rPr>
      </w:pPr>
    </w:p>
    <w:p w:rsidR="001145F7" w:rsidRPr="00B25770" w:rsidRDefault="001145F7" w:rsidP="001145F7">
      <w:pPr>
        <w:numPr>
          <w:ilvl w:val="0"/>
          <w:numId w:val="1"/>
        </w:numPr>
        <w:spacing w:after="0" w:line="240" w:lineRule="auto"/>
        <w:contextualSpacing/>
        <w:jc w:val="both"/>
        <w:rPr>
          <w:rFonts w:ascii="Calibri" w:eastAsia="Calibri" w:hAnsi="Calibri" w:cs="Times New Roman"/>
        </w:rPr>
      </w:pPr>
      <w:r w:rsidRPr="00B25770">
        <w:rPr>
          <w:rFonts w:ascii="Calibri" w:eastAsia="Calibri" w:hAnsi="Calibri" w:cs="Times New Roman"/>
        </w:rPr>
        <w:t>Le terme « d’ingénieurs et cadres » est remplacé par personnel relevant des articles 4 et 4 bis de la convention AGIRC du 14 mars 1947.</w:t>
      </w:r>
    </w:p>
    <w:p w:rsidR="001145F7" w:rsidRPr="00B25770" w:rsidRDefault="001145F7" w:rsidP="001145F7">
      <w:pPr>
        <w:spacing w:after="0" w:line="240" w:lineRule="auto"/>
        <w:contextualSpacing/>
        <w:jc w:val="both"/>
        <w:rPr>
          <w:rFonts w:ascii="Calibri" w:eastAsia="Calibri" w:hAnsi="Calibri" w:cs="Times New Roman"/>
        </w:rPr>
      </w:pPr>
    </w:p>
    <w:p w:rsidR="001145F7" w:rsidRPr="00B25770" w:rsidRDefault="001145F7" w:rsidP="001145F7">
      <w:pPr>
        <w:numPr>
          <w:ilvl w:val="0"/>
          <w:numId w:val="1"/>
        </w:numPr>
        <w:spacing w:after="0" w:line="240" w:lineRule="auto"/>
        <w:contextualSpacing/>
        <w:jc w:val="both"/>
        <w:rPr>
          <w:rFonts w:ascii="Calibri" w:eastAsia="Calibri" w:hAnsi="Calibri" w:cs="Times New Roman"/>
        </w:rPr>
      </w:pPr>
      <w:r w:rsidRPr="00B25770">
        <w:rPr>
          <w:rFonts w:ascii="Calibri" w:eastAsia="Calibri" w:hAnsi="Calibri" w:cs="Times New Roman"/>
        </w:rPr>
        <w:t>Le terme  « employés, techniciens et agents de maîtrise » est remplacé par personnel ne relevant pas des articles 4 et 4 bis de la convention AGIRC du 14 mars 1947.</w:t>
      </w:r>
    </w:p>
    <w:p w:rsidR="000C4DF9" w:rsidRPr="00B25770" w:rsidRDefault="000C4DF9" w:rsidP="003C2F7A">
      <w:pPr>
        <w:spacing w:after="0" w:line="240" w:lineRule="auto"/>
        <w:rPr>
          <w:b/>
        </w:rPr>
      </w:pPr>
    </w:p>
    <w:p w:rsidR="00FE11D2" w:rsidRPr="00B25770" w:rsidRDefault="00FE11D2" w:rsidP="003C2F7A">
      <w:pPr>
        <w:spacing w:after="0" w:line="240" w:lineRule="auto"/>
        <w:rPr>
          <w:b/>
        </w:rPr>
      </w:pPr>
    </w:p>
    <w:p w:rsidR="003C2F7A" w:rsidRPr="00B25770" w:rsidRDefault="001145F7" w:rsidP="003C2F7A">
      <w:pPr>
        <w:spacing w:after="0" w:line="240" w:lineRule="auto"/>
        <w:rPr>
          <w:b/>
          <w:u w:val="single"/>
        </w:rPr>
      </w:pPr>
      <w:r w:rsidRPr="00B25770">
        <w:rPr>
          <w:b/>
          <w:u w:val="single"/>
        </w:rPr>
        <w:t>ARTICLE 3</w:t>
      </w:r>
      <w:r w:rsidRPr="00B25770">
        <w:rPr>
          <w:b/>
        </w:rPr>
        <w:tab/>
      </w:r>
      <w:r w:rsidR="003C2F7A" w:rsidRPr="00B25770">
        <w:rPr>
          <w:b/>
          <w:u w:val="single"/>
        </w:rPr>
        <w:t>COTISATIONS</w:t>
      </w:r>
    </w:p>
    <w:p w:rsidR="003C2F7A" w:rsidRPr="00B25770" w:rsidRDefault="003C2F7A" w:rsidP="003C2F7A">
      <w:pPr>
        <w:pStyle w:val="Paragraphedeliste"/>
        <w:spacing w:after="0" w:line="240" w:lineRule="auto"/>
        <w:ind w:left="0"/>
        <w:jc w:val="both"/>
      </w:pPr>
    </w:p>
    <w:p w:rsidR="003C2F7A" w:rsidRPr="00B25770" w:rsidRDefault="003C2F7A" w:rsidP="003C2F7A">
      <w:pPr>
        <w:pStyle w:val="Paragraphedeliste"/>
        <w:spacing w:after="0" w:line="240" w:lineRule="auto"/>
        <w:ind w:left="0"/>
        <w:jc w:val="both"/>
      </w:pPr>
      <w:r w:rsidRPr="00B25770">
        <w:t>Le présent article modifie l’article 4.1 « taux, assiette, répartition des cotisations » de l’accord susmentionné du 2 octobre 2006. Celui-ci est désormais rédigé de la manière suivante :</w:t>
      </w:r>
    </w:p>
    <w:p w:rsidR="003C2F7A" w:rsidRPr="00B25770" w:rsidRDefault="003C2F7A" w:rsidP="003C2F7A">
      <w:pPr>
        <w:pStyle w:val="Paragraphedeliste"/>
        <w:spacing w:after="0" w:line="240" w:lineRule="auto"/>
        <w:ind w:left="0"/>
        <w:jc w:val="both"/>
      </w:pPr>
    </w:p>
    <w:p w:rsidR="003C2F7A" w:rsidRPr="00B25770" w:rsidRDefault="00CD2329" w:rsidP="003C2F7A">
      <w:pPr>
        <w:pStyle w:val="Paragraphedeliste"/>
        <w:spacing w:after="0" w:line="240" w:lineRule="auto"/>
        <w:ind w:left="0"/>
        <w:jc w:val="both"/>
        <w:rPr>
          <w:i/>
        </w:rPr>
      </w:pPr>
      <w:r w:rsidRPr="00B25770">
        <w:rPr>
          <w:i/>
        </w:rPr>
        <w:t>« </w:t>
      </w:r>
      <w:r w:rsidR="003C2F7A" w:rsidRPr="00B25770">
        <w:rPr>
          <w:i/>
        </w:rPr>
        <w:t>Les taux appliqués sont définis ci-après :</w:t>
      </w:r>
    </w:p>
    <w:p w:rsidR="003C2F7A" w:rsidRPr="00B25770" w:rsidRDefault="003C2F7A" w:rsidP="003C2F7A">
      <w:pPr>
        <w:pStyle w:val="Paragraphedeliste"/>
        <w:spacing w:after="0" w:line="240" w:lineRule="auto"/>
        <w:ind w:left="0"/>
        <w:jc w:val="both"/>
        <w:rPr>
          <w:i/>
        </w:rPr>
      </w:pPr>
    </w:p>
    <w:p w:rsidR="003C2F7A" w:rsidRPr="00B25770" w:rsidRDefault="003C2F7A" w:rsidP="003C2F7A">
      <w:pPr>
        <w:pStyle w:val="Paragraphedeliste"/>
        <w:spacing w:after="0" w:line="240" w:lineRule="auto"/>
        <w:ind w:left="0"/>
        <w:jc w:val="both"/>
        <w:rPr>
          <w:i/>
        </w:rPr>
      </w:pPr>
      <w:r w:rsidRPr="00B25770">
        <w:rPr>
          <w:i/>
          <w:u w:val="single"/>
        </w:rPr>
        <w:t>Taux de cotisations au 1</w:t>
      </w:r>
      <w:r w:rsidRPr="00B25770">
        <w:rPr>
          <w:i/>
          <w:u w:val="single"/>
          <w:vertAlign w:val="superscript"/>
        </w:rPr>
        <w:t>er</w:t>
      </w:r>
      <w:r w:rsidRPr="00B25770">
        <w:rPr>
          <w:i/>
          <w:u w:val="single"/>
        </w:rPr>
        <w:t xml:space="preserve"> janvier 2018</w:t>
      </w:r>
      <w:r w:rsidRPr="00B25770">
        <w:rPr>
          <w:i/>
        </w:rPr>
        <w:t> :</w:t>
      </w:r>
    </w:p>
    <w:p w:rsidR="003C2F7A" w:rsidRPr="00B25770" w:rsidRDefault="003C2F7A" w:rsidP="003C2F7A">
      <w:pPr>
        <w:pStyle w:val="Paragraphedeliste"/>
        <w:spacing w:after="0" w:line="240" w:lineRule="auto"/>
        <w:ind w:left="0"/>
        <w:jc w:val="both"/>
        <w:rPr>
          <w:i/>
        </w:rPr>
      </w:pPr>
    </w:p>
    <w:tbl>
      <w:tblPr>
        <w:tblStyle w:val="Grilledutableau"/>
        <w:tblW w:w="0" w:type="auto"/>
        <w:tblInd w:w="5" w:type="dxa"/>
        <w:tblLook w:val="04A0" w:firstRow="1" w:lastRow="0" w:firstColumn="1" w:lastColumn="0" w:noHBand="0" w:noVBand="1"/>
      </w:tblPr>
      <w:tblGrid>
        <w:gridCol w:w="2547"/>
        <w:gridCol w:w="1983"/>
        <w:gridCol w:w="2266"/>
        <w:gridCol w:w="2266"/>
      </w:tblGrid>
      <w:tr w:rsidR="003C2F7A" w:rsidRPr="00B25770" w:rsidTr="00B21E34">
        <w:trPr>
          <w:trHeight w:val="364"/>
        </w:trPr>
        <w:tc>
          <w:tcPr>
            <w:tcW w:w="2547" w:type="dxa"/>
            <w:tcBorders>
              <w:top w:val="nil"/>
              <w:left w:val="nil"/>
            </w:tcBorders>
          </w:tcPr>
          <w:p w:rsidR="003C2F7A" w:rsidRPr="00B25770" w:rsidRDefault="003C2F7A" w:rsidP="00B21E34">
            <w:pPr>
              <w:jc w:val="both"/>
              <w:rPr>
                <w:i/>
              </w:rPr>
            </w:pPr>
          </w:p>
        </w:tc>
        <w:tc>
          <w:tcPr>
            <w:tcW w:w="1983" w:type="dxa"/>
          </w:tcPr>
          <w:p w:rsidR="003C2F7A" w:rsidRPr="00B25770" w:rsidRDefault="003C2F7A" w:rsidP="00B21E34">
            <w:pPr>
              <w:jc w:val="center"/>
              <w:rPr>
                <w:b/>
                <w:i/>
              </w:rPr>
            </w:pPr>
            <w:r w:rsidRPr="00B25770">
              <w:rPr>
                <w:b/>
                <w:i/>
              </w:rPr>
              <w:t>Tranche A</w:t>
            </w:r>
          </w:p>
        </w:tc>
        <w:tc>
          <w:tcPr>
            <w:tcW w:w="2266" w:type="dxa"/>
          </w:tcPr>
          <w:p w:rsidR="003C2F7A" w:rsidRPr="00B25770" w:rsidRDefault="003C2F7A" w:rsidP="00B21E34">
            <w:pPr>
              <w:jc w:val="center"/>
              <w:rPr>
                <w:b/>
                <w:i/>
              </w:rPr>
            </w:pPr>
            <w:r w:rsidRPr="00B25770">
              <w:rPr>
                <w:b/>
                <w:i/>
              </w:rPr>
              <w:t>Tranche B</w:t>
            </w:r>
          </w:p>
        </w:tc>
        <w:tc>
          <w:tcPr>
            <w:tcW w:w="2266" w:type="dxa"/>
          </w:tcPr>
          <w:p w:rsidR="003C2F7A" w:rsidRPr="00B25770" w:rsidRDefault="003C2F7A" w:rsidP="00B21E34">
            <w:pPr>
              <w:jc w:val="center"/>
              <w:rPr>
                <w:b/>
                <w:i/>
              </w:rPr>
            </w:pPr>
            <w:r w:rsidRPr="00B25770">
              <w:rPr>
                <w:b/>
                <w:i/>
              </w:rPr>
              <w:t>Tranche C</w:t>
            </w:r>
          </w:p>
        </w:tc>
      </w:tr>
      <w:tr w:rsidR="003C2F7A" w:rsidRPr="00B25770" w:rsidTr="00B21E34">
        <w:tc>
          <w:tcPr>
            <w:tcW w:w="2547" w:type="dxa"/>
          </w:tcPr>
          <w:p w:rsidR="003C2F7A" w:rsidRPr="00B25770" w:rsidRDefault="003C2F7A" w:rsidP="00B21E34">
            <w:pPr>
              <w:jc w:val="both"/>
              <w:rPr>
                <w:b/>
                <w:i/>
              </w:rPr>
            </w:pPr>
            <w:r w:rsidRPr="00B25770">
              <w:rPr>
                <w:b/>
                <w:i/>
              </w:rPr>
              <w:t>Personnel relevant des articles 4 et 4 Bis de la convention AGIRC du 14 mars 1947</w:t>
            </w:r>
          </w:p>
        </w:tc>
        <w:tc>
          <w:tcPr>
            <w:tcW w:w="1983" w:type="dxa"/>
          </w:tcPr>
          <w:p w:rsidR="006C063E" w:rsidRPr="00B25770" w:rsidRDefault="006C063E" w:rsidP="00B21E34">
            <w:pPr>
              <w:jc w:val="center"/>
              <w:rPr>
                <w:i/>
              </w:rPr>
            </w:pPr>
          </w:p>
          <w:p w:rsidR="003C2F7A" w:rsidRPr="00B25770" w:rsidRDefault="003C2F7A" w:rsidP="007D6316">
            <w:pPr>
              <w:jc w:val="center"/>
              <w:rPr>
                <w:i/>
              </w:rPr>
            </w:pPr>
            <w:r w:rsidRPr="00B25770">
              <w:rPr>
                <w:i/>
              </w:rPr>
              <w:t>1,1</w:t>
            </w:r>
            <w:r w:rsidR="007D6316" w:rsidRPr="00B25770">
              <w:rPr>
                <w:i/>
              </w:rPr>
              <w:t>0</w:t>
            </w:r>
            <w:r w:rsidRPr="00B25770">
              <w:rPr>
                <w:i/>
              </w:rPr>
              <w:t>%</w:t>
            </w:r>
          </w:p>
        </w:tc>
        <w:tc>
          <w:tcPr>
            <w:tcW w:w="2266" w:type="dxa"/>
          </w:tcPr>
          <w:p w:rsidR="006C063E" w:rsidRPr="00B25770" w:rsidRDefault="006C063E" w:rsidP="00B21E34">
            <w:pPr>
              <w:jc w:val="center"/>
              <w:rPr>
                <w:i/>
              </w:rPr>
            </w:pPr>
          </w:p>
          <w:p w:rsidR="003C2F7A" w:rsidRPr="00B25770" w:rsidRDefault="007D6316" w:rsidP="00B21E34">
            <w:pPr>
              <w:jc w:val="center"/>
              <w:rPr>
                <w:i/>
              </w:rPr>
            </w:pPr>
            <w:r w:rsidRPr="00B25770">
              <w:rPr>
                <w:i/>
              </w:rPr>
              <w:t>1 ,10</w:t>
            </w:r>
            <w:r w:rsidR="003C2F7A" w:rsidRPr="00B25770">
              <w:rPr>
                <w:i/>
              </w:rPr>
              <w:t>%</w:t>
            </w:r>
          </w:p>
        </w:tc>
        <w:tc>
          <w:tcPr>
            <w:tcW w:w="2266" w:type="dxa"/>
          </w:tcPr>
          <w:p w:rsidR="006C063E" w:rsidRPr="00B25770" w:rsidRDefault="006C063E" w:rsidP="00B21E34">
            <w:pPr>
              <w:jc w:val="center"/>
              <w:rPr>
                <w:i/>
              </w:rPr>
            </w:pPr>
          </w:p>
          <w:p w:rsidR="003C2F7A" w:rsidRPr="00B25770" w:rsidRDefault="007D6316" w:rsidP="00B21E34">
            <w:pPr>
              <w:jc w:val="center"/>
              <w:rPr>
                <w:i/>
              </w:rPr>
            </w:pPr>
            <w:r w:rsidRPr="00B25770">
              <w:rPr>
                <w:i/>
              </w:rPr>
              <w:t>3,27</w:t>
            </w:r>
            <w:r w:rsidR="003C2F7A" w:rsidRPr="00B25770">
              <w:rPr>
                <w:i/>
              </w:rPr>
              <w:t>%</w:t>
            </w:r>
          </w:p>
        </w:tc>
      </w:tr>
      <w:tr w:rsidR="003C2F7A" w:rsidRPr="00B25770" w:rsidTr="00B21E34">
        <w:tc>
          <w:tcPr>
            <w:tcW w:w="2547" w:type="dxa"/>
          </w:tcPr>
          <w:p w:rsidR="003C2F7A" w:rsidRPr="00B25770" w:rsidRDefault="003C2F7A" w:rsidP="00B21E34">
            <w:pPr>
              <w:rPr>
                <w:b/>
                <w:i/>
              </w:rPr>
            </w:pPr>
            <w:r w:rsidRPr="00B25770">
              <w:rPr>
                <w:b/>
                <w:i/>
              </w:rPr>
              <w:t>Personnel ne relevant pas des articles 4 et 4 Bis de la convention AGIRC du 14 mars 1947</w:t>
            </w:r>
          </w:p>
        </w:tc>
        <w:tc>
          <w:tcPr>
            <w:tcW w:w="1983" w:type="dxa"/>
            <w:vAlign w:val="center"/>
          </w:tcPr>
          <w:p w:rsidR="003C2F7A" w:rsidRPr="00B25770" w:rsidRDefault="007D6316" w:rsidP="00B21E34">
            <w:pPr>
              <w:jc w:val="center"/>
              <w:rPr>
                <w:i/>
              </w:rPr>
            </w:pPr>
            <w:r w:rsidRPr="00B25770">
              <w:rPr>
                <w:i/>
              </w:rPr>
              <w:t>0,78</w:t>
            </w:r>
            <w:r w:rsidR="003C2F7A" w:rsidRPr="00B25770">
              <w:rPr>
                <w:i/>
              </w:rPr>
              <w:t>%</w:t>
            </w:r>
          </w:p>
        </w:tc>
        <w:tc>
          <w:tcPr>
            <w:tcW w:w="2266" w:type="dxa"/>
            <w:vAlign w:val="center"/>
          </w:tcPr>
          <w:p w:rsidR="003C2F7A" w:rsidRPr="00B25770" w:rsidRDefault="007D6316" w:rsidP="00B21E34">
            <w:pPr>
              <w:jc w:val="center"/>
              <w:rPr>
                <w:i/>
              </w:rPr>
            </w:pPr>
            <w:r w:rsidRPr="00B25770">
              <w:rPr>
                <w:i/>
              </w:rPr>
              <w:t>0,78</w:t>
            </w:r>
            <w:r w:rsidR="003C2F7A" w:rsidRPr="00B25770">
              <w:rPr>
                <w:i/>
              </w:rPr>
              <w:t>%</w:t>
            </w:r>
          </w:p>
        </w:tc>
        <w:tc>
          <w:tcPr>
            <w:tcW w:w="2266" w:type="dxa"/>
            <w:vAlign w:val="center"/>
          </w:tcPr>
          <w:p w:rsidR="003C2F7A" w:rsidRPr="00B25770" w:rsidRDefault="003C2F7A" w:rsidP="00B21E34">
            <w:pPr>
              <w:jc w:val="center"/>
              <w:rPr>
                <w:i/>
              </w:rPr>
            </w:pPr>
            <w:r w:rsidRPr="00B25770">
              <w:rPr>
                <w:i/>
              </w:rPr>
              <w:t>-</w:t>
            </w:r>
          </w:p>
        </w:tc>
      </w:tr>
    </w:tbl>
    <w:p w:rsidR="003C2F7A" w:rsidRPr="00B25770" w:rsidRDefault="003C2F7A" w:rsidP="003C2F7A">
      <w:pPr>
        <w:pStyle w:val="Paragraphedeliste"/>
        <w:spacing w:after="0" w:line="240" w:lineRule="auto"/>
        <w:ind w:left="0"/>
        <w:jc w:val="both"/>
        <w:rPr>
          <w:i/>
        </w:rPr>
      </w:pPr>
    </w:p>
    <w:p w:rsidR="001145F7" w:rsidRPr="00B25770" w:rsidRDefault="001145F7">
      <w:pPr>
        <w:rPr>
          <w:i/>
          <w:u w:val="single"/>
        </w:rPr>
      </w:pPr>
      <w:r w:rsidRPr="00B25770">
        <w:rPr>
          <w:i/>
          <w:u w:val="single"/>
        </w:rPr>
        <w:br w:type="page"/>
      </w:r>
    </w:p>
    <w:p w:rsidR="003C2F7A" w:rsidRPr="00B25770" w:rsidRDefault="003C2F7A" w:rsidP="003C2F7A">
      <w:pPr>
        <w:pStyle w:val="Paragraphedeliste"/>
        <w:spacing w:after="0" w:line="240" w:lineRule="auto"/>
        <w:ind w:left="0"/>
        <w:jc w:val="both"/>
        <w:rPr>
          <w:i/>
        </w:rPr>
      </w:pPr>
      <w:r w:rsidRPr="00B25770">
        <w:rPr>
          <w:i/>
          <w:u w:val="single"/>
        </w:rPr>
        <w:lastRenderedPageBreak/>
        <w:t>Taux de cotisations au 1</w:t>
      </w:r>
      <w:r w:rsidRPr="00B25770">
        <w:rPr>
          <w:i/>
          <w:u w:val="single"/>
          <w:vertAlign w:val="superscript"/>
        </w:rPr>
        <w:t>er</w:t>
      </w:r>
      <w:r w:rsidRPr="00B25770">
        <w:rPr>
          <w:i/>
          <w:u w:val="single"/>
        </w:rPr>
        <w:t xml:space="preserve"> janvier 2019</w:t>
      </w:r>
      <w:r w:rsidRPr="00B25770">
        <w:rPr>
          <w:i/>
        </w:rPr>
        <w:t> :</w:t>
      </w:r>
    </w:p>
    <w:p w:rsidR="003C2F7A" w:rsidRPr="00B25770" w:rsidRDefault="003C2F7A" w:rsidP="003C2F7A">
      <w:pPr>
        <w:pStyle w:val="Paragraphedeliste"/>
        <w:spacing w:after="0" w:line="240" w:lineRule="auto"/>
        <w:ind w:left="0"/>
        <w:jc w:val="both"/>
        <w:rPr>
          <w:i/>
        </w:rPr>
      </w:pPr>
    </w:p>
    <w:tbl>
      <w:tblPr>
        <w:tblStyle w:val="Grilledutableau"/>
        <w:tblW w:w="0" w:type="auto"/>
        <w:tblInd w:w="5" w:type="dxa"/>
        <w:tblLook w:val="04A0" w:firstRow="1" w:lastRow="0" w:firstColumn="1" w:lastColumn="0" w:noHBand="0" w:noVBand="1"/>
      </w:tblPr>
      <w:tblGrid>
        <w:gridCol w:w="2547"/>
        <w:gridCol w:w="1983"/>
        <w:gridCol w:w="2266"/>
        <w:gridCol w:w="2266"/>
      </w:tblGrid>
      <w:tr w:rsidR="003C2F7A" w:rsidRPr="00B25770" w:rsidTr="00B21E34">
        <w:tc>
          <w:tcPr>
            <w:tcW w:w="2547" w:type="dxa"/>
            <w:tcBorders>
              <w:top w:val="nil"/>
              <w:left w:val="nil"/>
            </w:tcBorders>
          </w:tcPr>
          <w:p w:rsidR="003C2F7A" w:rsidRPr="00B25770" w:rsidRDefault="003C2F7A" w:rsidP="00B21E34">
            <w:pPr>
              <w:jc w:val="both"/>
              <w:rPr>
                <w:i/>
              </w:rPr>
            </w:pPr>
          </w:p>
        </w:tc>
        <w:tc>
          <w:tcPr>
            <w:tcW w:w="1983" w:type="dxa"/>
          </w:tcPr>
          <w:p w:rsidR="003C2F7A" w:rsidRPr="00B25770" w:rsidRDefault="003C2F7A" w:rsidP="00B21E34">
            <w:pPr>
              <w:jc w:val="center"/>
              <w:rPr>
                <w:b/>
                <w:i/>
              </w:rPr>
            </w:pPr>
            <w:r w:rsidRPr="00B25770">
              <w:rPr>
                <w:b/>
                <w:i/>
              </w:rPr>
              <w:t>Tranche A</w:t>
            </w:r>
          </w:p>
        </w:tc>
        <w:tc>
          <w:tcPr>
            <w:tcW w:w="2266" w:type="dxa"/>
          </w:tcPr>
          <w:p w:rsidR="003C2F7A" w:rsidRPr="00B25770" w:rsidRDefault="003C2F7A" w:rsidP="00B21E34">
            <w:pPr>
              <w:jc w:val="center"/>
              <w:rPr>
                <w:b/>
                <w:i/>
              </w:rPr>
            </w:pPr>
            <w:r w:rsidRPr="00B25770">
              <w:rPr>
                <w:b/>
                <w:i/>
              </w:rPr>
              <w:t>Tranche B</w:t>
            </w:r>
          </w:p>
        </w:tc>
        <w:tc>
          <w:tcPr>
            <w:tcW w:w="2266" w:type="dxa"/>
          </w:tcPr>
          <w:p w:rsidR="003C2F7A" w:rsidRPr="00B25770" w:rsidRDefault="003C2F7A" w:rsidP="00B21E34">
            <w:pPr>
              <w:jc w:val="center"/>
              <w:rPr>
                <w:b/>
                <w:i/>
              </w:rPr>
            </w:pPr>
            <w:r w:rsidRPr="00B25770">
              <w:rPr>
                <w:b/>
                <w:i/>
              </w:rPr>
              <w:t>Tranche C</w:t>
            </w:r>
          </w:p>
        </w:tc>
      </w:tr>
      <w:tr w:rsidR="003C2F7A" w:rsidRPr="00B25770" w:rsidTr="00B21E34">
        <w:tc>
          <w:tcPr>
            <w:tcW w:w="2547" w:type="dxa"/>
          </w:tcPr>
          <w:p w:rsidR="003C2F7A" w:rsidRPr="00B25770" w:rsidRDefault="003C2F7A" w:rsidP="00B21E34">
            <w:pPr>
              <w:jc w:val="both"/>
              <w:rPr>
                <w:b/>
                <w:i/>
              </w:rPr>
            </w:pPr>
            <w:r w:rsidRPr="00B25770">
              <w:rPr>
                <w:b/>
                <w:i/>
              </w:rPr>
              <w:t>Personnel relevant des articles 4 et 4 Bis de la convention AGIRC du 14 mars 1947</w:t>
            </w:r>
          </w:p>
        </w:tc>
        <w:tc>
          <w:tcPr>
            <w:tcW w:w="1983" w:type="dxa"/>
          </w:tcPr>
          <w:p w:rsidR="006C063E" w:rsidRPr="00B25770" w:rsidRDefault="006C063E" w:rsidP="00B21E34">
            <w:pPr>
              <w:jc w:val="center"/>
              <w:rPr>
                <w:i/>
              </w:rPr>
            </w:pPr>
          </w:p>
          <w:p w:rsidR="003C2F7A" w:rsidRPr="00B25770" w:rsidRDefault="003C2F7A" w:rsidP="00B21E34">
            <w:pPr>
              <w:jc w:val="center"/>
              <w:rPr>
                <w:i/>
              </w:rPr>
            </w:pPr>
            <w:r w:rsidRPr="00B25770">
              <w:rPr>
                <w:i/>
              </w:rPr>
              <w:t>1,21%</w:t>
            </w:r>
          </w:p>
        </w:tc>
        <w:tc>
          <w:tcPr>
            <w:tcW w:w="2266" w:type="dxa"/>
          </w:tcPr>
          <w:p w:rsidR="006C063E" w:rsidRPr="00B25770" w:rsidRDefault="006C063E" w:rsidP="00B21E34">
            <w:pPr>
              <w:jc w:val="center"/>
              <w:rPr>
                <w:i/>
              </w:rPr>
            </w:pPr>
          </w:p>
          <w:p w:rsidR="003C2F7A" w:rsidRPr="00B25770" w:rsidRDefault="003C2F7A" w:rsidP="00B21E34">
            <w:pPr>
              <w:jc w:val="center"/>
              <w:rPr>
                <w:i/>
              </w:rPr>
            </w:pPr>
            <w:r w:rsidRPr="00B25770">
              <w:rPr>
                <w:i/>
              </w:rPr>
              <w:t>1 ,21%</w:t>
            </w:r>
          </w:p>
        </w:tc>
        <w:tc>
          <w:tcPr>
            <w:tcW w:w="2266" w:type="dxa"/>
          </w:tcPr>
          <w:p w:rsidR="006C063E" w:rsidRPr="00B25770" w:rsidRDefault="006C063E" w:rsidP="006C063E">
            <w:pPr>
              <w:tabs>
                <w:tab w:val="left" w:pos="740"/>
                <w:tab w:val="center" w:pos="1024"/>
              </w:tabs>
              <w:rPr>
                <w:i/>
              </w:rPr>
            </w:pPr>
            <w:r w:rsidRPr="00B25770">
              <w:rPr>
                <w:i/>
              </w:rPr>
              <w:tab/>
            </w:r>
          </w:p>
          <w:p w:rsidR="003C2F7A" w:rsidRPr="00B25770" w:rsidRDefault="006C063E" w:rsidP="006C063E">
            <w:pPr>
              <w:tabs>
                <w:tab w:val="left" w:pos="740"/>
                <w:tab w:val="center" w:pos="1024"/>
              </w:tabs>
              <w:rPr>
                <w:i/>
              </w:rPr>
            </w:pPr>
            <w:r w:rsidRPr="00B25770">
              <w:rPr>
                <w:i/>
              </w:rPr>
              <w:tab/>
            </w:r>
            <w:r w:rsidR="007D6316" w:rsidRPr="00B25770">
              <w:rPr>
                <w:i/>
              </w:rPr>
              <w:t>3,60</w:t>
            </w:r>
            <w:r w:rsidR="003C2F7A" w:rsidRPr="00B25770">
              <w:rPr>
                <w:i/>
              </w:rPr>
              <w:t>%</w:t>
            </w:r>
          </w:p>
        </w:tc>
      </w:tr>
      <w:tr w:rsidR="003C2F7A" w:rsidRPr="00B25770" w:rsidTr="00B21E34">
        <w:tc>
          <w:tcPr>
            <w:tcW w:w="2547" w:type="dxa"/>
          </w:tcPr>
          <w:p w:rsidR="003C2F7A" w:rsidRPr="00B25770" w:rsidRDefault="003C2F7A" w:rsidP="00B21E34">
            <w:pPr>
              <w:rPr>
                <w:b/>
                <w:i/>
              </w:rPr>
            </w:pPr>
            <w:r w:rsidRPr="00B25770">
              <w:rPr>
                <w:b/>
                <w:i/>
              </w:rPr>
              <w:t>Personnel ne relevant pas des articles 4 et 4 Bis de la convention AGIRC du 14 mars 1947</w:t>
            </w:r>
          </w:p>
        </w:tc>
        <w:tc>
          <w:tcPr>
            <w:tcW w:w="1983" w:type="dxa"/>
            <w:vAlign w:val="center"/>
          </w:tcPr>
          <w:p w:rsidR="003C2F7A" w:rsidRPr="00B25770" w:rsidRDefault="003C2F7A" w:rsidP="00B21E34">
            <w:pPr>
              <w:jc w:val="center"/>
              <w:rPr>
                <w:i/>
              </w:rPr>
            </w:pPr>
            <w:r w:rsidRPr="00B25770">
              <w:rPr>
                <w:i/>
              </w:rPr>
              <w:t>0,86%</w:t>
            </w:r>
          </w:p>
        </w:tc>
        <w:tc>
          <w:tcPr>
            <w:tcW w:w="2266" w:type="dxa"/>
            <w:vAlign w:val="center"/>
          </w:tcPr>
          <w:p w:rsidR="003C2F7A" w:rsidRPr="00B25770" w:rsidRDefault="003C2F7A" w:rsidP="00B21E34">
            <w:pPr>
              <w:jc w:val="center"/>
              <w:rPr>
                <w:i/>
              </w:rPr>
            </w:pPr>
            <w:r w:rsidRPr="00B25770">
              <w:rPr>
                <w:i/>
              </w:rPr>
              <w:t>0,86%</w:t>
            </w:r>
          </w:p>
        </w:tc>
        <w:tc>
          <w:tcPr>
            <w:tcW w:w="2266" w:type="dxa"/>
            <w:vAlign w:val="center"/>
          </w:tcPr>
          <w:p w:rsidR="003C2F7A" w:rsidRPr="00B25770" w:rsidRDefault="003C2F7A" w:rsidP="00B21E34">
            <w:pPr>
              <w:jc w:val="center"/>
              <w:rPr>
                <w:i/>
              </w:rPr>
            </w:pPr>
            <w:r w:rsidRPr="00B25770">
              <w:rPr>
                <w:i/>
              </w:rPr>
              <w:t>-</w:t>
            </w:r>
          </w:p>
        </w:tc>
      </w:tr>
    </w:tbl>
    <w:p w:rsidR="003C2F7A" w:rsidRPr="00B25770" w:rsidRDefault="003C2F7A" w:rsidP="003C2F7A">
      <w:pPr>
        <w:pStyle w:val="Paragraphedeliste"/>
        <w:spacing w:after="0" w:line="240" w:lineRule="auto"/>
        <w:ind w:left="0"/>
        <w:jc w:val="both"/>
        <w:rPr>
          <w:i/>
        </w:rPr>
      </w:pPr>
    </w:p>
    <w:p w:rsidR="003C2F7A" w:rsidRPr="00B25770" w:rsidRDefault="003C2F7A" w:rsidP="003C2F7A">
      <w:pPr>
        <w:pStyle w:val="Paragraphedeliste"/>
        <w:spacing w:after="0" w:line="240" w:lineRule="auto"/>
        <w:ind w:left="0"/>
        <w:jc w:val="both"/>
        <w:rPr>
          <w:i/>
        </w:rPr>
      </w:pPr>
      <w:r w:rsidRPr="00B25770">
        <w:rPr>
          <w:i/>
        </w:rPr>
        <w:t xml:space="preserve">L’assiette de calcul correspond à la totalité de la rémunération brute perçue plafonnée au maximum de la tranche C </w:t>
      </w:r>
      <w:r w:rsidR="006C063E" w:rsidRPr="00B25770">
        <w:rPr>
          <w:i/>
        </w:rPr>
        <w:t xml:space="preserve">retenue </w:t>
      </w:r>
      <w:r w:rsidRPr="00B25770">
        <w:rPr>
          <w:i/>
        </w:rPr>
        <w:t>pour le calcul des cotisations AGIRC.</w:t>
      </w:r>
    </w:p>
    <w:p w:rsidR="003C2F7A" w:rsidRPr="00B25770" w:rsidRDefault="003C2F7A" w:rsidP="003C2F7A">
      <w:pPr>
        <w:pStyle w:val="Paragraphedeliste"/>
        <w:spacing w:after="0" w:line="240" w:lineRule="auto"/>
        <w:ind w:left="0"/>
        <w:jc w:val="both"/>
        <w:rPr>
          <w:i/>
        </w:rPr>
      </w:pPr>
    </w:p>
    <w:p w:rsidR="003C2F7A" w:rsidRPr="00B25770" w:rsidRDefault="003C2F7A" w:rsidP="003C2F7A">
      <w:pPr>
        <w:pStyle w:val="Paragraphedeliste"/>
        <w:spacing w:after="0" w:line="240" w:lineRule="auto"/>
        <w:ind w:left="0"/>
        <w:jc w:val="both"/>
        <w:rPr>
          <w:i/>
        </w:rPr>
      </w:pPr>
      <w:r w:rsidRPr="00B25770">
        <w:rPr>
          <w:i/>
        </w:rPr>
        <w:t xml:space="preserve">La répartition des cotisations entre l’employeur et le salarié s’organise de la façon suivante : </w:t>
      </w:r>
    </w:p>
    <w:p w:rsidR="003C2F7A" w:rsidRPr="00B25770" w:rsidRDefault="003C2F7A" w:rsidP="003C2F7A">
      <w:pPr>
        <w:pStyle w:val="Paragraphedeliste"/>
        <w:spacing w:after="0" w:line="240" w:lineRule="auto"/>
        <w:ind w:left="0"/>
        <w:jc w:val="both"/>
        <w:rPr>
          <w:i/>
        </w:rPr>
      </w:pPr>
    </w:p>
    <w:tbl>
      <w:tblPr>
        <w:tblStyle w:val="Grilledutableau"/>
        <w:tblW w:w="9037" w:type="dxa"/>
        <w:tblInd w:w="55" w:type="dxa"/>
        <w:tblLook w:val="04A0" w:firstRow="1" w:lastRow="0" w:firstColumn="1" w:lastColumn="0" w:noHBand="0" w:noVBand="1"/>
      </w:tblPr>
      <w:tblGrid>
        <w:gridCol w:w="1338"/>
        <w:gridCol w:w="1285"/>
        <w:gridCol w:w="1279"/>
        <w:gridCol w:w="1287"/>
        <w:gridCol w:w="1280"/>
        <w:gridCol w:w="1288"/>
        <w:gridCol w:w="1280"/>
      </w:tblGrid>
      <w:tr w:rsidR="003C2F7A" w:rsidRPr="00B25770" w:rsidTr="00B21E34">
        <w:tc>
          <w:tcPr>
            <w:tcW w:w="1338" w:type="dxa"/>
            <w:tcBorders>
              <w:top w:val="nil"/>
              <w:left w:val="nil"/>
              <w:bottom w:val="nil"/>
            </w:tcBorders>
          </w:tcPr>
          <w:p w:rsidR="003C2F7A" w:rsidRPr="00B25770" w:rsidRDefault="003C2F7A" w:rsidP="00B21E34">
            <w:pPr>
              <w:pStyle w:val="Paragraphedeliste"/>
              <w:ind w:left="0"/>
              <w:jc w:val="both"/>
              <w:rPr>
                <w:i/>
              </w:rPr>
            </w:pPr>
          </w:p>
        </w:tc>
        <w:tc>
          <w:tcPr>
            <w:tcW w:w="2564" w:type="dxa"/>
            <w:gridSpan w:val="2"/>
          </w:tcPr>
          <w:p w:rsidR="003C2F7A" w:rsidRPr="00B25770" w:rsidRDefault="003C2F7A" w:rsidP="00B21E34">
            <w:pPr>
              <w:pStyle w:val="Paragraphedeliste"/>
              <w:ind w:left="0"/>
              <w:jc w:val="center"/>
              <w:rPr>
                <w:b/>
                <w:i/>
              </w:rPr>
            </w:pPr>
            <w:r w:rsidRPr="00B25770">
              <w:rPr>
                <w:b/>
                <w:i/>
              </w:rPr>
              <w:t>Tranche A</w:t>
            </w:r>
          </w:p>
        </w:tc>
        <w:tc>
          <w:tcPr>
            <w:tcW w:w="2567" w:type="dxa"/>
            <w:gridSpan w:val="2"/>
          </w:tcPr>
          <w:p w:rsidR="003C2F7A" w:rsidRPr="00B25770" w:rsidRDefault="003C2F7A" w:rsidP="00B21E34">
            <w:pPr>
              <w:pStyle w:val="Paragraphedeliste"/>
              <w:ind w:left="0"/>
              <w:jc w:val="center"/>
              <w:rPr>
                <w:b/>
                <w:i/>
              </w:rPr>
            </w:pPr>
            <w:r w:rsidRPr="00B25770">
              <w:rPr>
                <w:b/>
                <w:i/>
              </w:rPr>
              <w:t>Tranche B</w:t>
            </w:r>
          </w:p>
        </w:tc>
        <w:tc>
          <w:tcPr>
            <w:tcW w:w="2568" w:type="dxa"/>
            <w:gridSpan w:val="2"/>
          </w:tcPr>
          <w:p w:rsidR="003C2F7A" w:rsidRPr="00B25770" w:rsidRDefault="003C2F7A" w:rsidP="00B21E34">
            <w:pPr>
              <w:pStyle w:val="Paragraphedeliste"/>
              <w:ind w:left="0"/>
              <w:jc w:val="center"/>
              <w:rPr>
                <w:b/>
                <w:i/>
              </w:rPr>
            </w:pPr>
            <w:r w:rsidRPr="00B25770">
              <w:rPr>
                <w:b/>
                <w:i/>
              </w:rPr>
              <w:t>Tranche C</w:t>
            </w:r>
          </w:p>
        </w:tc>
      </w:tr>
      <w:tr w:rsidR="003C2F7A" w:rsidRPr="00B25770" w:rsidTr="00B21E34">
        <w:tc>
          <w:tcPr>
            <w:tcW w:w="1338" w:type="dxa"/>
            <w:tcBorders>
              <w:top w:val="nil"/>
              <w:left w:val="nil"/>
            </w:tcBorders>
          </w:tcPr>
          <w:p w:rsidR="003C2F7A" w:rsidRPr="00B25770" w:rsidRDefault="003C2F7A" w:rsidP="00B21E34">
            <w:pPr>
              <w:pStyle w:val="Paragraphedeliste"/>
              <w:ind w:left="0"/>
              <w:jc w:val="both"/>
              <w:rPr>
                <w:i/>
              </w:rPr>
            </w:pPr>
          </w:p>
        </w:tc>
        <w:tc>
          <w:tcPr>
            <w:tcW w:w="1285" w:type="dxa"/>
          </w:tcPr>
          <w:p w:rsidR="003C2F7A" w:rsidRPr="00B25770" w:rsidRDefault="003C2F7A" w:rsidP="00B21E34">
            <w:pPr>
              <w:pStyle w:val="Paragraphedeliste"/>
              <w:ind w:left="0"/>
              <w:jc w:val="center"/>
              <w:rPr>
                <w:i/>
              </w:rPr>
            </w:pPr>
            <w:r w:rsidRPr="00B25770">
              <w:rPr>
                <w:i/>
              </w:rPr>
              <w:t>Part patronale</w:t>
            </w:r>
          </w:p>
        </w:tc>
        <w:tc>
          <w:tcPr>
            <w:tcW w:w="1279" w:type="dxa"/>
          </w:tcPr>
          <w:p w:rsidR="003C2F7A" w:rsidRPr="00B25770" w:rsidRDefault="003C2F7A" w:rsidP="00B21E34">
            <w:pPr>
              <w:pStyle w:val="Paragraphedeliste"/>
              <w:ind w:left="0"/>
              <w:jc w:val="center"/>
              <w:rPr>
                <w:i/>
              </w:rPr>
            </w:pPr>
            <w:r w:rsidRPr="00B25770">
              <w:rPr>
                <w:i/>
              </w:rPr>
              <w:t>Part salariale</w:t>
            </w:r>
          </w:p>
        </w:tc>
        <w:tc>
          <w:tcPr>
            <w:tcW w:w="1287" w:type="dxa"/>
          </w:tcPr>
          <w:p w:rsidR="003C2F7A" w:rsidRPr="00B25770" w:rsidRDefault="003C2F7A" w:rsidP="00B21E34">
            <w:pPr>
              <w:pStyle w:val="Paragraphedeliste"/>
              <w:ind w:left="0"/>
              <w:jc w:val="center"/>
              <w:rPr>
                <w:i/>
              </w:rPr>
            </w:pPr>
            <w:r w:rsidRPr="00B25770">
              <w:rPr>
                <w:i/>
              </w:rPr>
              <w:t>Part patronale</w:t>
            </w:r>
          </w:p>
        </w:tc>
        <w:tc>
          <w:tcPr>
            <w:tcW w:w="1280" w:type="dxa"/>
          </w:tcPr>
          <w:p w:rsidR="003C2F7A" w:rsidRPr="00B25770" w:rsidRDefault="003C2F7A" w:rsidP="00B21E34">
            <w:pPr>
              <w:pStyle w:val="Paragraphedeliste"/>
              <w:ind w:left="0"/>
              <w:jc w:val="center"/>
              <w:rPr>
                <w:i/>
              </w:rPr>
            </w:pPr>
            <w:r w:rsidRPr="00B25770">
              <w:rPr>
                <w:i/>
              </w:rPr>
              <w:t>Part salariale</w:t>
            </w:r>
          </w:p>
        </w:tc>
        <w:tc>
          <w:tcPr>
            <w:tcW w:w="1288" w:type="dxa"/>
          </w:tcPr>
          <w:p w:rsidR="003C2F7A" w:rsidRPr="00B25770" w:rsidRDefault="003C2F7A" w:rsidP="00B21E34">
            <w:pPr>
              <w:pStyle w:val="Paragraphedeliste"/>
              <w:ind w:left="0"/>
              <w:jc w:val="center"/>
              <w:rPr>
                <w:i/>
              </w:rPr>
            </w:pPr>
            <w:r w:rsidRPr="00B25770">
              <w:rPr>
                <w:i/>
              </w:rPr>
              <w:t>Part patronale</w:t>
            </w:r>
          </w:p>
        </w:tc>
        <w:tc>
          <w:tcPr>
            <w:tcW w:w="1280" w:type="dxa"/>
          </w:tcPr>
          <w:p w:rsidR="003C2F7A" w:rsidRPr="00B25770" w:rsidRDefault="003C2F7A" w:rsidP="00B21E34">
            <w:pPr>
              <w:pStyle w:val="Paragraphedeliste"/>
              <w:ind w:left="0"/>
              <w:jc w:val="center"/>
              <w:rPr>
                <w:i/>
              </w:rPr>
            </w:pPr>
            <w:r w:rsidRPr="00B25770">
              <w:rPr>
                <w:i/>
              </w:rPr>
              <w:t>Part salariale</w:t>
            </w:r>
          </w:p>
        </w:tc>
      </w:tr>
      <w:tr w:rsidR="003C2F7A" w:rsidRPr="00B25770" w:rsidTr="00B21E34">
        <w:tc>
          <w:tcPr>
            <w:tcW w:w="1338" w:type="dxa"/>
            <w:vMerge w:val="restart"/>
          </w:tcPr>
          <w:p w:rsidR="003C2F7A" w:rsidRPr="00B25770" w:rsidRDefault="001145F7" w:rsidP="00B21E34">
            <w:pPr>
              <w:pStyle w:val="Paragraphedeliste"/>
              <w:ind w:left="0"/>
              <w:jc w:val="both"/>
              <w:rPr>
                <w:b/>
                <w:i/>
              </w:rPr>
            </w:pPr>
            <w:r w:rsidRPr="00B25770">
              <w:rPr>
                <w:b/>
                <w:i/>
              </w:rPr>
              <w:t>Personnel relevant des articles 4 et 4 Bis de la convention AGIRC du 14 mars 1947</w:t>
            </w:r>
          </w:p>
        </w:tc>
        <w:tc>
          <w:tcPr>
            <w:tcW w:w="1285" w:type="dxa"/>
          </w:tcPr>
          <w:p w:rsidR="003C2F7A" w:rsidRPr="00B25770" w:rsidRDefault="003C2F7A" w:rsidP="00B21E34">
            <w:pPr>
              <w:pStyle w:val="Paragraphedeliste"/>
              <w:ind w:left="0"/>
              <w:jc w:val="center"/>
              <w:rPr>
                <w:i/>
              </w:rPr>
            </w:pPr>
            <w:r w:rsidRPr="00B25770">
              <w:rPr>
                <w:i/>
              </w:rPr>
              <w:t>90%</w:t>
            </w:r>
          </w:p>
        </w:tc>
        <w:tc>
          <w:tcPr>
            <w:tcW w:w="1279" w:type="dxa"/>
          </w:tcPr>
          <w:p w:rsidR="003C2F7A" w:rsidRPr="00B25770" w:rsidRDefault="003C2F7A" w:rsidP="00B21E34">
            <w:pPr>
              <w:pStyle w:val="Paragraphedeliste"/>
              <w:ind w:left="0"/>
              <w:jc w:val="center"/>
              <w:rPr>
                <w:i/>
              </w:rPr>
            </w:pPr>
            <w:r w:rsidRPr="00B25770">
              <w:rPr>
                <w:i/>
              </w:rPr>
              <w:t>10%</w:t>
            </w:r>
          </w:p>
        </w:tc>
        <w:tc>
          <w:tcPr>
            <w:tcW w:w="1287" w:type="dxa"/>
          </w:tcPr>
          <w:p w:rsidR="003C2F7A" w:rsidRPr="00B25770" w:rsidRDefault="003C2F7A" w:rsidP="00B21E34">
            <w:pPr>
              <w:pStyle w:val="Paragraphedeliste"/>
              <w:ind w:left="0"/>
              <w:jc w:val="center"/>
              <w:rPr>
                <w:i/>
              </w:rPr>
            </w:pPr>
            <w:r w:rsidRPr="00B25770">
              <w:rPr>
                <w:i/>
              </w:rPr>
              <w:t>50%</w:t>
            </w:r>
          </w:p>
        </w:tc>
        <w:tc>
          <w:tcPr>
            <w:tcW w:w="1280" w:type="dxa"/>
          </w:tcPr>
          <w:p w:rsidR="003C2F7A" w:rsidRPr="00B25770" w:rsidRDefault="003C2F7A" w:rsidP="00B21E34">
            <w:pPr>
              <w:pStyle w:val="Paragraphedeliste"/>
              <w:ind w:left="0"/>
              <w:jc w:val="center"/>
              <w:rPr>
                <w:i/>
              </w:rPr>
            </w:pPr>
            <w:r w:rsidRPr="00B25770">
              <w:rPr>
                <w:i/>
              </w:rPr>
              <w:t>50%</w:t>
            </w:r>
          </w:p>
        </w:tc>
        <w:tc>
          <w:tcPr>
            <w:tcW w:w="1288" w:type="dxa"/>
          </w:tcPr>
          <w:p w:rsidR="003C2F7A" w:rsidRPr="00B25770" w:rsidRDefault="003C2F7A" w:rsidP="00B21E34">
            <w:pPr>
              <w:pStyle w:val="Paragraphedeliste"/>
              <w:ind w:left="0"/>
              <w:jc w:val="center"/>
              <w:rPr>
                <w:i/>
              </w:rPr>
            </w:pPr>
            <w:r w:rsidRPr="00B25770">
              <w:rPr>
                <w:i/>
              </w:rPr>
              <w:t>50%</w:t>
            </w:r>
          </w:p>
        </w:tc>
        <w:tc>
          <w:tcPr>
            <w:tcW w:w="1280" w:type="dxa"/>
          </w:tcPr>
          <w:p w:rsidR="003C2F7A" w:rsidRPr="00B25770" w:rsidRDefault="003C2F7A" w:rsidP="00B21E34">
            <w:pPr>
              <w:pStyle w:val="Paragraphedeliste"/>
              <w:ind w:left="0"/>
              <w:jc w:val="center"/>
              <w:rPr>
                <w:i/>
              </w:rPr>
            </w:pPr>
            <w:r w:rsidRPr="00B25770">
              <w:rPr>
                <w:i/>
              </w:rPr>
              <w:t>50%</w:t>
            </w:r>
          </w:p>
        </w:tc>
      </w:tr>
      <w:tr w:rsidR="003C2F7A" w:rsidRPr="00B25770" w:rsidTr="00B21E34">
        <w:tc>
          <w:tcPr>
            <w:tcW w:w="1338" w:type="dxa"/>
            <w:vMerge/>
          </w:tcPr>
          <w:p w:rsidR="003C2F7A" w:rsidRPr="00B25770" w:rsidRDefault="003C2F7A" w:rsidP="00B21E34">
            <w:pPr>
              <w:pStyle w:val="Paragraphedeliste"/>
              <w:ind w:left="0"/>
              <w:jc w:val="both"/>
              <w:rPr>
                <w:b/>
                <w:i/>
              </w:rPr>
            </w:pPr>
          </w:p>
        </w:tc>
        <w:tc>
          <w:tcPr>
            <w:tcW w:w="2564" w:type="dxa"/>
            <w:gridSpan w:val="2"/>
            <w:shd w:val="clear" w:color="auto" w:fill="F2F2F2" w:themeFill="background1" w:themeFillShade="F2"/>
          </w:tcPr>
          <w:p w:rsidR="001145F7" w:rsidRPr="00B25770" w:rsidRDefault="001145F7" w:rsidP="00B21E34">
            <w:pPr>
              <w:pStyle w:val="Paragraphedeliste"/>
              <w:ind w:left="0"/>
              <w:jc w:val="center"/>
              <w:rPr>
                <w:i/>
              </w:rPr>
            </w:pPr>
          </w:p>
          <w:p w:rsidR="001145F7" w:rsidRPr="00B25770" w:rsidRDefault="001145F7" w:rsidP="00B21E34">
            <w:pPr>
              <w:pStyle w:val="Paragraphedeliste"/>
              <w:ind w:left="0"/>
              <w:jc w:val="center"/>
              <w:rPr>
                <w:i/>
              </w:rPr>
            </w:pPr>
          </w:p>
          <w:p w:rsidR="003C2F7A" w:rsidRPr="00B25770" w:rsidRDefault="003C2F7A" w:rsidP="00B21E34">
            <w:pPr>
              <w:pStyle w:val="Paragraphedeliste"/>
              <w:ind w:left="0"/>
              <w:jc w:val="center"/>
              <w:rPr>
                <w:i/>
              </w:rPr>
            </w:pPr>
            <w:r w:rsidRPr="00B25770">
              <w:rPr>
                <w:i/>
              </w:rPr>
              <w:t>100%</w:t>
            </w:r>
          </w:p>
        </w:tc>
        <w:tc>
          <w:tcPr>
            <w:tcW w:w="2567" w:type="dxa"/>
            <w:gridSpan w:val="2"/>
            <w:shd w:val="clear" w:color="auto" w:fill="F2F2F2" w:themeFill="background1" w:themeFillShade="F2"/>
          </w:tcPr>
          <w:p w:rsidR="001145F7" w:rsidRPr="00B25770" w:rsidRDefault="001145F7" w:rsidP="00B21E34">
            <w:pPr>
              <w:pStyle w:val="Paragraphedeliste"/>
              <w:ind w:left="0"/>
              <w:jc w:val="center"/>
              <w:rPr>
                <w:i/>
              </w:rPr>
            </w:pPr>
          </w:p>
          <w:p w:rsidR="001145F7" w:rsidRPr="00B25770" w:rsidRDefault="001145F7" w:rsidP="00B21E34">
            <w:pPr>
              <w:pStyle w:val="Paragraphedeliste"/>
              <w:ind w:left="0"/>
              <w:jc w:val="center"/>
              <w:rPr>
                <w:i/>
              </w:rPr>
            </w:pPr>
          </w:p>
          <w:p w:rsidR="003C2F7A" w:rsidRPr="00B25770" w:rsidRDefault="003C2F7A" w:rsidP="00B21E34">
            <w:pPr>
              <w:pStyle w:val="Paragraphedeliste"/>
              <w:ind w:left="0"/>
              <w:jc w:val="center"/>
              <w:rPr>
                <w:i/>
              </w:rPr>
            </w:pPr>
            <w:r w:rsidRPr="00B25770">
              <w:rPr>
                <w:i/>
              </w:rPr>
              <w:t>100%</w:t>
            </w:r>
          </w:p>
        </w:tc>
        <w:tc>
          <w:tcPr>
            <w:tcW w:w="2568" w:type="dxa"/>
            <w:gridSpan w:val="2"/>
            <w:tcBorders>
              <w:bottom w:val="single" w:sz="4" w:space="0" w:color="auto"/>
            </w:tcBorders>
            <w:shd w:val="clear" w:color="auto" w:fill="F2F2F2" w:themeFill="background1" w:themeFillShade="F2"/>
          </w:tcPr>
          <w:p w:rsidR="001145F7" w:rsidRPr="00B25770" w:rsidRDefault="001145F7" w:rsidP="00B21E34">
            <w:pPr>
              <w:pStyle w:val="Paragraphedeliste"/>
              <w:ind w:left="0"/>
              <w:jc w:val="center"/>
              <w:rPr>
                <w:i/>
              </w:rPr>
            </w:pPr>
          </w:p>
          <w:p w:rsidR="001145F7" w:rsidRPr="00B25770" w:rsidRDefault="001145F7" w:rsidP="00B21E34">
            <w:pPr>
              <w:pStyle w:val="Paragraphedeliste"/>
              <w:ind w:left="0"/>
              <w:jc w:val="center"/>
              <w:rPr>
                <w:i/>
              </w:rPr>
            </w:pPr>
          </w:p>
          <w:p w:rsidR="003C2F7A" w:rsidRPr="00B25770" w:rsidRDefault="003C2F7A" w:rsidP="00B21E34">
            <w:pPr>
              <w:pStyle w:val="Paragraphedeliste"/>
              <w:ind w:left="0"/>
              <w:jc w:val="center"/>
              <w:rPr>
                <w:i/>
              </w:rPr>
            </w:pPr>
            <w:r w:rsidRPr="00B25770">
              <w:rPr>
                <w:i/>
              </w:rPr>
              <w:t>100%</w:t>
            </w:r>
          </w:p>
        </w:tc>
      </w:tr>
      <w:tr w:rsidR="003C2F7A" w:rsidRPr="00B25770" w:rsidTr="00B21E34">
        <w:tc>
          <w:tcPr>
            <w:tcW w:w="1338" w:type="dxa"/>
            <w:vMerge w:val="restart"/>
          </w:tcPr>
          <w:p w:rsidR="003C2F7A" w:rsidRPr="00B25770" w:rsidRDefault="001145F7" w:rsidP="00B21E34">
            <w:pPr>
              <w:pStyle w:val="Paragraphedeliste"/>
              <w:ind w:left="0"/>
              <w:jc w:val="both"/>
              <w:rPr>
                <w:b/>
                <w:i/>
              </w:rPr>
            </w:pPr>
            <w:r w:rsidRPr="00B25770">
              <w:rPr>
                <w:b/>
                <w:i/>
              </w:rPr>
              <w:t>Personnel ne relevant pas des articles 4 et 4 Bis de la convention AGIRC du 14 mars 1947</w:t>
            </w:r>
          </w:p>
        </w:tc>
        <w:tc>
          <w:tcPr>
            <w:tcW w:w="1285" w:type="dxa"/>
          </w:tcPr>
          <w:p w:rsidR="003C2F7A" w:rsidRPr="00B25770" w:rsidRDefault="003C2F7A" w:rsidP="00B21E34">
            <w:pPr>
              <w:pStyle w:val="Paragraphedeliste"/>
              <w:ind w:left="0"/>
              <w:jc w:val="center"/>
              <w:rPr>
                <w:i/>
              </w:rPr>
            </w:pPr>
            <w:r w:rsidRPr="00B25770">
              <w:rPr>
                <w:i/>
              </w:rPr>
              <w:t>84%</w:t>
            </w:r>
          </w:p>
        </w:tc>
        <w:tc>
          <w:tcPr>
            <w:tcW w:w="1279" w:type="dxa"/>
          </w:tcPr>
          <w:p w:rsidR="003C2F7A" w:rsidRPr="00B25770" w:rsidRDefault="003C2F7A" w:rsidP="00B21E34">
            <w:pPr>
              <w:pStyle w:val="Paragraphedeliste"/>
              <w:ind w:left="0"/>
              <w:jc w:val="center"/>
              <w:rPr>
                <w:i/>
              </w:rPr>
            </w:pPr>
            <w:r w:rsidRPr="00B25770">
              <w:rPr>
                <w:i/>
              </w:rPr>
              <w:t>16%</w:t>
            </w:r>
          </w:p>
        </w:tc>
        <w:tc>
          <w:tcPr>
            <w:tcW w:w="1287" w:type="dxa"/>
          </w:tcPr>
          <w:p w:rsidR="003C2F7A" w:rsidRPr="00B25770" w:rsidRDefault="003C2F7A" w:rsidP="00B21E34">
            <w:pPr>
              <w:pStyle w:val="Paragraphedeliste"/>
              <w:ind w:left="0"/>
              <w:jc w:val="center"/>
              <w:rPr>
                <w:i/>
              </w:rPr>
            </w:pPr>
            <w:r w:rsidRPr="00B25770">
              <w:rPr>
                <w:i/>
              </w:rPr>
              <w:t>60%</w:t>
            </w:r>
          </w:p>
        </w:tc>
        <w:tc>
          <w:tcPr>
            <w:tcW w:w="1280" w:type="dxa"/>
          </w:tcPr>
          <w:p w:rsidR="003C2F7A" w:rsidRPr="00B25770" w:rsidRDefault="003C2F7A" w:rsidP="00B21E34">
            <w:pPr>
              <w:pStyle w:val="Paragraphedeliste"/>
              <w:ind w:left="0"/>
              <w:jc w:val="center"/>
              <w:rPr>
                <w:i/>
              </w:rPr>
            </w:pPr>
            <w:r w:rsidRPr="00B25770">
              <w:rPr>
                <w:i/>
              </w:rPr>
              <w:t>40%</w:t>
            </w:r>
          </w:p>
        </w:tc>
        <w:tc>
          <w:tcPr>
            <w:tcW w:w="1288" w:type="dxa"/>
            <w:tcBorders>
              <w:bottom w:val="single" w:sz="4" w:space="0" w:color="auto"/>
              <w:right w:val="single" w:sz="4" w:space="0" w:color="auto"/>
            </w:tcBorders>
          </w:tcPr>
          <w:p w:rsidR="003C2F7A" w:rsidRPr="00B25770" w:rsidRDefault="002F11A7" w:rsidP="00B21E34">
            <w:pPr>
              <w:pStyle w:val="Paragraphedeliste"/>
              <w:ind w:left="0"/>
              <w:jc w:val="center"/>
              <w:rPr>
                <w:i/>
              </w:rPr>
            </w:pPr>
            <w:r w:rsidRPr="00B25770">
              <w:rPr>
                <w:i/>
              </w:rPr>
              <w:t>6</w:t>
            </w:r>
            <w:r w:rsidR="003C2F7A" w:rsidRPr="00B25770">
              <w:rPr>
                <w:i/>
              </w:rPr>
              <w:t>0%</w:t>
            </w:r>
          </w:p>
        </w:tc>
        <w:tc>
          <w:tcPr>
            <w:tcW w:w="1280" w:type="dxa"/>
            <w:tcBorders>
              <w:left w:val="single" w:sz="4" w:space="0" w:color="auto"/>
              <w:bottom w:val="single" w:sz="4" w:space="0" w:color="auto"/>
              <w:right w:val="single" w:sz="4" w:space="0" w:color="auto"/>
            </w:tcBorders>
          </w:tcPr>
          <w:p w:rsidR="003C2F7A" w:rsidRPr="00B25770" w:rsidRDefault="002F11A7" w:rsidP="00B21E34">
            <w:pPr>
              <w:pStyle w:val="Paragraphedeliste"/>
              <w:ind w:left="0"/>
              <w:jc w:val="center"/>
              <w:rPr>
                <w:i/>
              </w:rPr>
            </w:pPr>
            <w:r w:rsidRPr="00B25770">
              <w:rPr>
                <w:i/>
              </w:rPr>
              <w:t>4</w:t>
            </w:r>
            <w:r w:rsidR="003C2F7A" w:rsidRPr="00B25770">
              <w:rPr>
                <w:i/>
              </w:rPr>
              <w:t>0%</w:t>
            </w:r>
          </w:p>
        </w:tc>
      </w:tr>
      <w:tr w:rsidR="002F11A7" w:rsidRPr="00B25770" w:rsidTr="00B25770">
        <w:tc>
          <w:tcPr>
            <w:tcW w:w="1338" w:type="dxa"/>
            <w:vMerge/>
          </w:tcPr>
          <w:p w:rsidR="002F11A7" w:rsidRPr="00B25770" w:rsidRDefault="002F11A7" w:rsidP="00B21E34">
            <w:pPr>
              <w:pStyle w:val="Paragraphedeliste"/>
              <w:ind w:left="0"/>
              <w:jc w:val="both"/>
              <w:rPr>
                <w:i/>
              </w:rPr>
            </w:pPr>
          </w:p>
        </w:tc>
        <w:tc>
          <w:tcPr>
            <w:tcW w:w="2564" w:type="dxa"/>
            <w:gridSpan w:val="2"/>
            <w:shd w:val="clear" w:color="auto" w:fill="F2F2F2" w:themeFill="background1" w:themeFillShade="F2"/>
          </w:tcPr>
          <w:p w:rsidR="002F11A7" w:rsidRPr="00B25770" w:rsidRDefault="002F11A7" w:rsidP="00B21E34">
            <w:pPr>
              <w:pStyle w:val="Paragraphedeliste"/>
              <w:ind w:left="0"/>
              <w:jc w:val="center"/>
              <w:rPr>
                <w:i/>
              </w:rPr>
            </w:pPr>
          </w:p>
          <w:p w:rsidR="002F11A7" w:rsidRPr="00B25770" w:rsidRDefault="002F11A7" w:rsidP="00B21E34">
            <w:pPr>
              <w:pStyle w:val="Paragraphedeliste"/>
              <w:ind w:left="0"/>
              <w:jc w:val="center"/>
              <w:rPr>
                <w:i/>
              </w:rPr>
            </w:pPr>
          </w:p>
          <w:p w:rsidR="002F11A7" w:rsidRPr="00B25770" w:rsidRDefault="002F11A7" w:rsidP="00B21E34">
            <w:pPr>
              <w:pStyle w:val="Paragraphedeliste"/>
              <w:ind w:left="0"/>
              <w:jc w:val="center"/>
              <w:rPr>
                <w:i/>
              </w:rPr>
            </w:pPr>
            <w:r w:rsidRPr="00B25770">
              <w:rPr>
                <w:i/>
              </w:rPr>
              <w:t>100%</w:t>
            </w:r>
          </w:p>
        </w:tc>
        <w:tc>
          <w:tcPr>
            <w:tcW w:w="2567" w:type="dxa"/>
            <w:gridSpan w:val="2"/>
            <w:tcBorders>
              <w:top w:val="nil"/>
            </w:tcBorders>
            <w:shd w:val="clear" w:color="auto" w:fill="F2F2F2" w:themeFill="background1" w:themeFillShade="F2"/>
          </w:tcPr>
          <w:p w:rsidR="002F11A7" w:rsidRPr="00B25770" w:rsidRDefault="002F11A7" w:rsidP="00B21E34">
            <w:pPr>
              <w:pStyle w:val="Paragraphedeliste"/>
              <w:ind w:left="0"/>
              <w:jc w:val="center"/>
              <w:rPr>
                <w:i/>
              </w:rPr>
            </w:pPr>
          </w:p>
          <w:p w:rsidR="002F11A7" w:rsidRPr="00B25770" w:rsidRDefault="002F11A7" w:rsidP="00B21E34">
            <w:pPr>
              <w:pStyle w:val="Paragraphedeliste"/>
              <w:ind w:left="0"/>
              <w:jc w:val="center"/>
              <w:rPr>
                <w:i/>
              </w:rPr>
            </w:pPr>
          </w:p>
          <w:p w:rsidR="002F11A7" w:rsidRPr="00B25770" w:rsidRDefault="002F11A7" w:rsidP="00B21E34">
            <w:pPr>
              <w:pStyle w:val="Paragraphedeliste"/>
              <w:ind w:left="0"/>
              <w:jc w:val="center"/>
              <w:rPr>
                <w:i/>
              </w:rPr>
            </w:pPr>
            <w:r w:rsidRPr="00B25770">
              <w:rPr>
                <w:i/>
              </w:rPr>
              <w:t>100%</w:t>
            </w:r>
          </w:p>
        </w:tc>
        <w:tc>
          <w:tcPr>
            <w:tcW w:w="2568" w:type="dxa"/>
            <w:gridSpan w:val="2"/>
            <w:tcBorders>
              <w:top w:val="single" w:sz="4" w:space="0" w:color="auto"/>
              <w:bottom w:val="single" w:sz="4" w:space="0" w:color="auto"/>
              <w:right w:val="single" w:sz="4" w:space="0" w:color="auto"/>
            </w:tcBorders>
            <w:shd w:val="clear" w:color="auto" w:fill="F2F2F2" w:themeFill="background1" w:themeFillShade="F2"/>
          </w:tcPr>
          <w:p w:rsidR="002F11A7" w:rsidRPr="00B25770" w:rsidRDefault="002F11A7" w:rsidP="006C063E">
            <w:pPr>
              <w:pStyle w:val="Paragraphedeliste"/>
              <w:ind w:left="0"/>
              <w:jc w:val="center"/>
              <w:rPr>
                <w:i/>
              </w:rPr>
            </w:pPr>
          </w:p>
          <w:p w:rsidR="002F11A7" w:rsidRPr="00B25770" w:rsidRDefault="002F11A7" w:rsidP="006C063E">
            <w:pPr>
              <w:pStyle w:val="Paragraphedeliste"/>
              <w:ind w:left="0"/>
              <w:jc w:val="center"/>
              <w:rPr>
                <w:i/>
              </w:rPr>
            </w:pPr>
          </w:p>
          <w:p w:rsidR="002F11A7" w:rsidRPr="00B25770" w:rsidRDefault="002F11A7" w:rsidP="006C063E">
            <w:pPr>
              <w:pStyle w:val="Paragraphedeliste"/>
              <w:ind w:left="0"/>
              <w:jc w:val="center"/>
              <w:rPr>
                <w:i/>
              </w:rPr>
            </w:pPr>
            <w:r w:rsidRPr="00B25770">
              <w:rPr>
                <w:i/>
              </w:rPr>
              <w:t>100%</w:t>
            </w:r>
          </w:p>
          <w:p w:rsidR="002F11A7" w:rsidRPr="00B25770" w:rsidRDefault="002F11A7" w:rsidP="006C063E">
            <w:pPr>
              <w:pStyle w:val="Paragraphedeliste"/>
              <w:ind w:left="0"/>
              <w:jc w:val="center"/>
              <w:rPr>
                <w:i/>
              </w:rPr>
            </w:pPr>
          </w:p>
          <w:p w:rsidR="002F11A7" w:rsidRPr="00B25770" w:rsidRDefault="002F11A7" w:rsidP="006C063E">
            <w:pPr>
              <w:pStyle w:val="Paragraphedeliste"/>
              <w:ind w:left="0"/>
              <w:jc w:val="center"/>
              <w:rPr>
                <w:i/>
              </w:rPr>
            </w:pPr>
          </w:p>
          <w:p w:rsidR="002F11A7" w:rsidRPr="00B25770" w:rsidRDefault="002F11A7" w:rsidP="006C063E">
            <w:pPr>
              <w:pStyle w:val="Paragraphedeliste"/>
              <w:ind w:left="0"/>
              <w:jc w:val="center"/>
              <w:rPr>
                <w:i/>
              </w:rPr>
            </w:pPr>
          </w:p>
        </w:tc>
      </w:tr>
    </w:tbl>
    <w:p w:rsidR="003C2F7A" w:rsidRPr="00B25770" w:rsidRDefault="003C2F7A" w:rsidP="003C2F7A">
      <w:pPr>
        <w:pStyle w:val="Paragraphedeliste"/>
        <w:spacing w:after="0" w:line="240" w:lineRule="auto"/>
        <w:ind w:left="0"/>
        <w:jc w:val="both"/>
        <w:rPr>
          <w:i/>
        </w:rPr>
      </w:pPr>
    </w:p>
    <w:p w:rsidR="003C2F7A" w:rsidRPr="00B25770" w:rsidRDefault="003C2F7A" w:rsidP="003C2F7A">
      <w:pPr>
        <w:pStyle w:val="Paragraphedeliste"/>
        <w:spacing w:after="0" w:line="240" w:lineRule="auto"/>
        <w:ind w:left="0"/>
        <w:jc w:val="both"/>
      </w:pPr>
    </w:p>
    <w:p w:rsidR="003C2F7A" w:rsidRPr="00B25770" w:rsidRDefault="001145F7" w:rsidP="003C2F7A">
      <w:pPr>
        <w:spacing w:after="0" w:line="240" w:lineRule="auto"/>
        <w:rPr>
          <w:b/>
          <w:u w:val="single"/>
        </w:rPr>
      </w:pPr>
      <w:r w:rsidRPr="00B25770">
        <w:rPr>
          <w:b/>
          <w:u w:val="single"/>
        </w:rPr>
        <w:t>ARTICLE 4</w:t>
      </w:r>
      <w:r w:rsidR="003C2F7A" w:rsidRPr="00B25770">
        <w:rPr>
          <w:b/>
        </w:rPr>
        <w:tab/>
      </w:r>
      <w:r w:rsidR="003C2F7A" w:rsidRPr="00B25770">
        <w:rPr>
          <w:b/>
          <w:u w:val="single"/>
        </w:rPr>
        <w:t>EVOLUTION DE LA COTISATION</w:t>
      </w:r>
    </w:p>
    <w:p w:rsidR="003C2F7A" w:rsidRPr="00B25770" w:rsidRDefault="003C2F7A" w:rsidP="003C2F7A">
      <w:pPr>
        <w:pStyle w:val="Paragraphedeliste"/>
        <w:spacing w:after="0" w:line="240" w:lineRule="auto"/>
        <w:ind w:left="0"/>
        <w:jc w:val="both"/>
      </w:pPr>
    </w:p>
    <w:p w:rsidR="003C2F7A" w:rsidRPr="00B25770" w:rsidRDefault="003C2F7A" w:rsidP="003C2F7A">
      <w:pPr>
        <w:pStyle w:val="Paragraphedeliste"/>
        <w:spacing w:after="0" w:line="240" w:lineRule="auto"/>
        <w:ind w:left="0"/>
        <w:jc w:val="both"/>
      </w:pPr>
      <w:r w:rsidRPr="00B25770">
        <w:t>L</w:t>
      </w:r>
      <w:r w:rsidR="00641D63" w:rsidRPr="00B25770">
        <w:t>e présent article modifie l</w:t>
      </w:r>
      <w:r w:rsidRPr="00B25770">
        <w:t xml:space="preserve">’article 4.3 « évolution ultérieure de la cotisation » </w:t>
      </w:r>
      <w:r w:rsidR="006149A8" w:rsidRPr="00B25770">
        <w:t>de l’accord susmentionné du 2 octobre 2006</w:t>
      </w:r>
      <w:r w:rsidR="00641D63" w:rsidRPr="00B25770">
        <w:t xml:space="preserve">. Celui-ci est désormais rédigé de la manière suivante </w:t>
      </w:r>
      <w:r w:rsidRPr="00B25770">
        <w:t xml:space="preserve">: </w:t>
      </w:r>
    </w:p>
    <w:p w:rsidR="003C2F7A" w:rsidRPr="00B25770" w:rsidRDefault="003C2F7A" w:rsidP="003C2F7A">
      <w:pPr>
        <w:pStyle w:val="Paragraphedeliste"/>
        <w:spacing w:after="0" w:line="240" w:lineRule="auto"/>
        <w:ind w:left="0"/>
        <w:jc w:val="both"/>
      </w:pPr>
    </w:p>
    <w:p w:rsidR="00F46257" w:rsidRPr="00B25770" w:rsidRDefault="006149A8" w:rsidP="00F46257">
      <w:pPr>
        <w:pStyle w:val="Paragraphedeliste"/>
        <w:spacing w:after="0" w:line="240" w:lineRule="auto"/>
        <w:ind w:left="0"/>
        <w:jc w:val="both"/>
        <w:rPr>
          <w:rFonts w:ascii="Calibri" w:eastAsia="Calibri" w:hAnsi="Calibri" w:cs="Times New Roman"/>
          <w:i/>
        </w:rPr>
      </w:pPr>
      <w:r w:rsidRPr="00B25770">
        <w:rPr>
          <w:i/>
        </w:rPr>
        <w:t>« </w:t>
      </w:r>
      <w:r w:rsidR="003C2F7A" w:rsidRPr="00B25770">
        <w:rPr>
          <w:i/>
        </w:rPr>
        <w:t>Le taux de cotisation est révisé au 1</w:t>
      </w:r>
      <w:r w:rsidR="003C2F7A" w:rsidRPr="00B25770">
        <w:rPr>
          <w:i/>
          <w:vertAlign w:val="superscript"/>
        </w:rPr>
        <w:t>er</w:t>
      </w:r>
      <w:r w:rsidR="003C2F7A" w:rsidRPr="00B25770">
        <w:rPr>
          <w:i/>
        </w:rPr>
        <w:t xml:space="preserve"> janvier de chaque année, notamment en fonction du contexte législatif ou réglementaire venant à modifier les engagements de l’assureur.</w:t>
      </w:r>
      <w:r w:rsidR="00F46257" w:rsidRPr="00B25770">
        <w:rPr>
          <w:rFonts w:ascii="Calibri" w:eastAsia="Calibri" w:hAnsi="Calibri" w:cs="Times New Roman"/>
          <w:i/>
        </w:rPr>
        <w:t xml:space="preserve"> </w:t>
      </w:r>
    </w:p>
    <w:p w:rsidR="003C2F7A" w:rsidRPr="00B25770" w:rsidRDefault="003C2F7A" w:rsidP="003C2F7A">
      <w:pPr>
        <w:pStyle w:val="Paragraphedeliste"/>
        <w:spacing w:after="0" w:line="240" w:lineRule="auto"/>
        <w:ind w:left="0"/>
        <w:jc w:val="both"/>
        <w:rPr>
          <w:i/>
        </w:rPr>
      </w:pPr>
    </w:p>
    <w:p w:rsidR="003C2F7A" w:rsidRPr="00B25770" w:rsidRDefault="003C2F7A" w:rsidP="003C2F7A">
      <w:pPr>
        <w:pStyle w:val="Paragraphedeliste"/>
        <w:spacing w:after="0" w:line="240" w:lineRule="auto"/>
        <w:ind w:left="0"/>
        <w:jc w:val="both"/>
        <w:rPr>
          <w:i/>
        </w:rPr>
      </w:pPr>
      <w:r w:rsidRPr="00B25770">
        <w:rPr>
          <w:i/>
        </w:rPr>
        <w:t>En cas d’augmentation des cotisations, issue des évolutions législatives ou règlementaires,</w:t>
      </w:r>
      <w:r w:rsidR="006C063E" w:rsidRPr="00B25770">
        <w:rPr>
          <w:i/>
        </w:rPr>
        <w:t xml:space="preserve"> les P</w:t>
      </w:r>
      <w:r w:rsidRPr="00B25770">
        <w:rPr>
          <w:i/>
        </w:rPr>
        <w:t>arties conviennent que l’entreprise prendra en charge cette augmentation selon le même pourcentage de participation patronale que celui prévu a</w:t>
      </w:r>
      <w:r w:rsidR="00641D63" w:rsidRPr="00B25770">
        <w:rPr>
          <w:i/>
        </w:rPr>
        <w:t>u paragraphe prévu à l’article 4</w:t>
      </w:r>
      <w:r w:rsidRPr="00B25770">
        <w:rPr>
          <w:i/>
        </w:rPr>
        <w:t xml:space="preserve"> sans qu’un avenant au présent accord soit nécessaire.</w:t>
      </w:r>
    </w:p>
    <w:p w:rsidR="003C2F7A" w:rsidRPr="00B25770" w:rsidRDefault="003C2F7A" w:rsidP="003C2F7A">
      <w:pPr>
        <w:pStyle w:val="Paragraphedeliste"/>
        <w:spacing w:after="0" w:line="240" w:lineRule="auto"/>
        <w:ind w:left="0"/>
        <w:jc w:val="both"/>
        <w:rPr>
          <w:i/>
        </w:rPr>
      </w:pPr>
    </w:p>
    <w:p w:rsidR="003D21CD" w:rsidRPr="00B25770" w:rsidRDefault="003D21CD" w:rsidP="003D21CD">
      <w:pPr>
        <w:spacing w:after="0" w:line="240" w:lineRule="auto"/>
        <w:contextualSpacing/>
        <w:jc w:val="both"/>
        <w:rPr>
          <w:rFonts w:ascii="Calibri" w:eastAsia="Calibri" w:hAnsi="Calibri" w:cs="Times New Roman"/>
          <w:i/>
        </w:rPr>
      </w:pPr>
      <w:r w:rsidRPr="00B25770">
        <w:rPr>
          <w:rFonts w:ascii="Calibri" w:eastAsia="Calibri" w:hAnsi="Calibri" w:cs="Times New Roman"/>
          <w:i/>
        </w:rPr>
        <w:t>Toute évolution de la cotisation sera examinée lors d’une réunion de la commission de suivi du régime</w:t>
      </w:r>
      <w:r w:rsidR="006149A8" w:rsidRPr="00B25770">
        <w:rPr>
          <w:rFonts w:ascii="Calibri" w:eastAsia="Calibri" w:hAnsi="Calibri" w:cs="Times New Roman"/>
          <w:i/>
        </w:rPr>
        <w:t> »</w:t>
      </w:r>
      <w:r w:rsidRPr="00B25770">
        <w:rPr>
          <w:rFonts w:ascii="Calibri" w:eastAsia="Calibri" w:hAnsi="Calibri" w:cs="Times New Roman"/>
          <w:i/>
        </w:rPr>
        <w:t xml:space="preserve">. </w:t>
      </w:r>
    </w:p>
    <w:p w:rsidR="003C2F7A" w:rsidRPr="00B25770" w:rsidRDefault="003C2F7A" w:rsidP="003C2F7A">
      <w:pPr>
        <w:pStyle w:val="Paragraphedeliste"/>
        <w:spacing w:after="0" w:line="240" w:lineRule="auto"/>
        <w:ind w:left="0"/>
        <w:jc w:val="both"/>
      </w:pPr>
    </w:p>
    <w:p w:rsidR="003C2F7A" w:rsidRPr="00B25770" w:rsidRDefault="001145F7" w:rsidP="003C2F7A">
      <w:pPr>
        <w:spacing w:after="0" w:line="240" w:lineRule="auto"/>
        <w:rPr>
          <w:b/>
          <w:u w:val="single"/>
        </w:rPr>
      </w:pPr>
      <w:r w:rsidRPr="00B25770">
        <w:rPr>
          <w:b/>
          <w:u w:val="single"/>
        </w:rPr>
        <w:t>ARTICLE 5</w:t>
      </w:r>
      <w:r w:rsidR="003C2F7A" w:rsidRPr="00B25770">
        <w:rPr>
          <w:b/>
        </w:rPr>
        <w:tab/>
      </w:r>
      <w:r w:rsidR="003C2F7A" w:rsidRPr="00B25770">
        <w:rPr>
          <w:b/>
          <w:u w:val="single"/>
        </w:rPr>
        <w:t>PRESTATIONS ET GARANTIES COLLECTIVES</w:t>
      </w:r>
    </w:p>
    <w:p w:rsidR="003C2F7A" w:rsidRPr="00B25770" w:rsidRDefault="003C2F7A" w:rsidP="003C2F7A">
      <w:pPr>
        <w:pStyle w:val="Paragraphedeliste"/>
        <w:spacing w:after="0" w:line="240" w:lineRule="auto"/>
        <w:ind w:left="0"/>
        <w:jc w:val="both"/>
      </w:pPr>
    </w:p>
    <w:p w:rsidR="003C2F7A" w:rsidRPr="00B25770" w:rsidRDefault="003C2F7A" w:rsidP="003C2F7A">
      <w:pPr>
        <w:pStyle w:val="Paragraphedeliste"/>
        <w:spacing w:after="0" w:line="240" w:lineRule="auto"/>
        <w:ind w:left="0"/>
        <w:jc w:val="both"/>
      </w:pPr>
      <w:r w:rsidRPr="00B25770">
        <w:t>Le tableau listant les garanties et prestations « Prévoyance » annexé à l’accord susmentionné du 2 octobre 2006 est modifié de la manière suivante :</w:t>
      </w:r>
    </w:p>
    <w:p w:rsidR="003C2F7A" w:rsidRPr="00B25770" w:rsidRDefault="003C2F7A" w:rsidP="003C2F7A">
      <w:pPr>
        <w:pStyle w:val="Paragraphedeliste"/>
        <w:spacing w:after="0" w:line="240" w:lineRule="auto"/>
        <w:ind w:left="0"/>
        <w:jc w:val="both"/>
      </w:pPr>
    </w:p>
    <w:p w:rsidR="003C2F7A" w:rsidRPr="00B25770" w:rsidRDefault="003C2F7A" w:rsidP="003C2F7A">
      <w:pPr>
        <w:pStyle w:val="Paragraphedeliste"/>
        <w:spacing w:after="0" w:line="240" w:lineRule="auto"/>
        <w:ind w:left="0"/>
        <w:jc w:val="both"/>
      </w:pPr>
    </w:p>
    <w:tbl>
      <w:tblPr>
        <w:tblStyle w:val="Grilledutableau"/>
        <w:tblW w:w="0" w:type="auto"/>
        <w:tblLook w:val="04A0" w:firstRow="1" w:lastRow="0" w:firstColumn="1" w:lastColumn="0" w:noHBand="0" w:noVBand="1"/>
      </w:tblPr>
      <w:tblGrid>
        <w:gridCol w:w="5825"/>
        <w:gridCol w:w="3237"/>
      </w:tblGrid>
      <w:tr w:rsidR="003C2F7A" w:rsidRPr="00B25770" w:rsidTr="006C063E">
        <w:trPr>
          <w:trHeight w:val="439"/>
        </w:trPr>
        <w:tc>
          <w:tcPr>
            <w:tcW w:w="5825" w:type="dxa"/>
            <w:vMerge w:val="restart"/>
            <w:shd w:val="clear" w:color="auto" w:fill="A6A6A6" w:themeFill="background1" w:themeFillShade="A6"/>
            <w:noWrap/>
            <w:vAlign w:val="center"/>
            <w:hideMark/>
          </w:tcPr>
          <w:p w:rsidR="003C2F7A" w:rsidRPr="00B25770" w:rsidRDefault="003C2F7A" w:rsidP="00B21E34">
            <w:pPr>
              <w:tabs>
                <w:tab w:val="left" w:pos="1005"/>
              </w:tabs>
              <w:jc w:val="center"/>
              <w:rPr>
                <w:rFonts w:cs="Arial"/>
                <w:b/>
                <w:bCs/>
                <w:i/>
              </w:rPr>
            </w:pPr>
            <w:r w:rsidRPr="00B25770">
              <w:rPr>
                <w:rFonts w:cs="Arial"/>
                <w:b/>
                <w:bCs/>
                <w:i/>
              </w:rPr>
              <w:t>NATURE DES GARANTIES</w:t>
            </w:r>
          </w:p>
        </w:tc>
        <w:tc>
          <w:tcPr>
            <w:tcW w:w="3237" w:type="dxa"/>
            <w:vMerge w:val="restart"/>
            <w:shd w:val="clear" w:color="auto" w:fill="A6A6A6" w:themeFill="background1" w:themeFillShade="A6"/>
            <w:vAlign w:val="center"/>
            <w:hideMark/>
          </w:tcPr>
          <w:p w:rsidR="006149A8" w:rsidRPr="00B25770" w:rsidRDefault="003C2F7A" w:rsidP="006149A8">
            <w:pPr>
              <w:tabs>
                <w:tab w:val="left" w:pos="1005"/>
              </w:tabs>
              <w:jc w:val="center"/>
              <w:rPr>
                <w:rFonts w:cs="Arial"/>
                <w:b/>
                <w:bCs/>
                <w:i/>
              </w:rPr>
            </w:pPr>
            <w:r w:rsidRPr="00B25770">
              <w:rPr>
                <w:rFonts w:cs="Arial"/>
                <w:b/>
                <w:bCs/>
                <w:i/>
              </w:rPr>
              <w:t xml:space="preserve">Régime de Prévoyance </w:t>
            </w:r>
            <w:r w:rsidR="006149A8" w:rsidRPr="00B25770">
              <w:rPr>
                <w:rFonts w:cs="Arial"/>
                <w:b/>
                <w:bCs/>
                <w:i/>
              </w:rPr>
              <w:t>pour l’ensemble des salariés</w:t>
            </w:r>
          </w:p>
          <w:p w:rsidR="003C2F7A" w:rsidRPr="00B25770" w:rsidRDefault="003C2F7A" w:rsidP="006149A8">
            <w:pPr>
              <w:tabs>
                <w:tab w:val="left" w:pos="1005"/>
              </w:tabs>
              <w:jc w:val="center"/>
              <w:rPr>
                <w:rFonts w:cs="Arial"/>
                <w:b/>
                <w:bCs/>
                <w:i/>
              </w:rPr>
            </w:pPr>
            <w:r w:rsidRPr="00B25770">
              <w:rPr>
                <w:rFonts w:cs="Arial"/>
                <w:b/>
                <w:bCs/>
                <w:i/>
              </w:rPr>
              <w:t>UES CAPGEMINI</w:t>
            </w:r>
          </w:p>
        </w:tc>
      </w:tr>
      <w:tr w:rsidR="003C2F7A" w:rsidRPr="00B25770" w:rsidTr="006C063E">
        <w:trPr>
          <w:trHeight w:val="789"/>
        </w:trPr>
        <w:tc>
          <w:tcPr>
            <w:tcW w:w="5825" w:type="dxa"/>
            <w:vMerge/>
            <w:shd w:val="clear" w:color="auto" w:fill="A6A6A6" w:themeFill="background1" w:themeFillShade="A6"/>
            <w:hideMark/>
          </w:tcPr>
          <w:p w:rsidR="003C2F7A" w:rsidRPr="00B25770" w:rsidRDefault="003C2F7A" w:rsidP="00B21E34">
            <w:pPr>
              <w:tabs>
                <w:tab w:val="left" w:pos="1005"/>
              </w:tabs>
              <w:rPr>
                <w:rFonts w:cs="Arial"/>
                <w:b/>
                <w:bCs/>
                <w:i/>
              </w:rPr>
            </w:pPr>
          </w:p>
        </w:tc>
        <w:tc>
          <w:tcPr>
            <w:tcW w:w="3237" w:type="dxa"/>
            <w:vMerge/>
            <w:shd w:val="clear" w:color="auto" w:fill="A6A6A6" w:themeFill="background1" w:themeFillShade="A6"/>
            <w:vAlign w:val="center"/>
            <w:hideMark/>
          </w:tcPr>
          <w:p w:rsidR="003C2F7A" w:rsidRPr="00B25770" w:rsidRDefault="003C2F7A" w:rsidP="00B21E34">
            <w:pPr>
              <w:tabs>
                <w:tab w:val="left" w:pos="1005"/>
              </w:tabs>
              <w:jc w:val="center"/>
              <w:rPr>
                <w:rFonts w:cs="Arial"/>
                <w:b/>
                <w:bCs/>
                <w:i/>
              </w:rPr>
            </w:pPr>
          </w:p>
        </w:tc>
      </w:tr>
      <w:tr w:rsidR="003C2F7A" w:rsidRPr="00B25770" w:rsidTr="006C063E">
        <w:trPr>
          <w:trHeight w:val="465"/>
        </w:trPr>
        <w:tc>
          <w:tcPr>
            <w:tcW w:w="5825" w:type="dxa"/>
            <w:vMerge/>
            <w:shd w:val="clear" w:color="auto" w:fill="A6A6A6" w:themeFill="background1" w:themeFillShade="A6"/>
            <w:hideMark/>
          </w:tcPr>
          <w:p w:rsidR="003C2F7A" w:rsidRPr="00B25770" w:rsidRDefault="003C2F7A" w:rsidP="00B21E34">
            <w:pPr>
              <w:tabs>
                <w:tab w:val="left" w:pos="1005"/>
              </w:tabs>
              <w:rPr>
                <w:rFonts w:cs="Arial"/>
                <w:b/>
                <w:bCs/>
                <w:i/>
              </w:rPr>
            </w:pPr>
          </w:p>
        </w:tc>
        <w:tc>
          <w:tcPr>
            <w:tcW w:w="3237" w:type="dxa"/>
            <w:shd w:val="clear" w:color="auto" w:fill="A6A6A6" w:themeFill="background1" w:themeFillShade="A6"/>
            <w:vAlign w:val="center"/>
            <w:hideMark/>
          </w:tcPr>
          <w:p w:rsidR="003C2F7A" w:rsidRPr="00B25770" w:rsidRDefault="003C2F7A" w:rsidP="00B21E34">
            <w:pPr>
              <w:tabs>
                <w:tab w:val="left" w:pos="1005"/>
              </w:tabs>
              <w:jc w:val="center"/>
              <w:rPr>
                <w:rFonts w:cs="Arial"/>
                <w:b/>
                <w:bCs/>
                <w:i/>
              </w:rPr>
            </w:pPr>
            <w:r w:rsidRPr="00B25770">
              <w:rPr>
                <w:rFonts w:cs="Arial"/>
                <w:b/>
                <w:bCs/>
                <w:i/>
              </w:rPr>
              <w:t>TA + TB + TC</w:t>
            </w:r>
          </w:p>
        </w:tc>
      </w:tr>
      <w:tr w:rsidR="003C2F7A" w:rsidRPr="00B25770" w:rsidTr="006C063E">
        <w:trPr>
          <w:trHeight w:val="511"/>
        </w:trPr>
        <w:tc>
          <w:tcPr>
            <w:tcW w:w="5825" w:type="dxa"/>
            <w:shd w:val="clear" w:color="auto" w:fill="A6A6A6" w:themeFill="background1" w:themeFillShade="A6"/>
            <w:noWrap/>
            <w:vAlign w:val="center"/>
            <w:hideMark/>
          </w:tcPr>
          <w:p w:rsidR="003C2F7A" w:rsidRPr="00B25770" w:rsidRDefault="003C2F7A" w:rsidP="00B21E34">
            <w:pPr>
              <w:tabs>
                <w:tab w:val="left" w:pos="1005"/>
              </w:tabs>
              <w:rPr>
                <w:rFonts w:cs="Arial"/>
                <w:b/>
                <w:i/>
              </w:rPr>
            </w:pPr>
            <w:r w:rsidRPr="00B25770">
              <w:rPr>
                <w:rFonts w:cs="Arial"/>
                <w:b/>
                <w:i/>
              </w:rPr>
              <w:t xml:space="preserve">A1 - </w:t>
            </w:r>
            <w:r w:rsidRPr="00B25770">
              <w:rPr>
                <w:rFonts w:cs="Arial"/>
                <w:b/>
                <w:bCs/>
                <w:i/>
              </w:rPr>
              <w:t xml:space="preserve">DECES - PERTE TOTALE ET IRREVERSIBLE D’AUTONOMIE </w:t>
            </w:r>
            <w:r w:rsidRPr="00B25770">
              <w:rPr>
                <w:rFonts w:cs="Arial"/>
                <w:b/>
                <w:bCs/>
                <w:i/>
              </w:rPr>
              <w:br/>
              <w:t xml:space="preserve">(P.T.I.A. - 3 </w:t>
            </w:r>
            <w:r w:rsidRPr="00B25770">
              <w:rPr>
                <w:rFonts w:cs="Arial"/>
                <w:b/>
                <w:bCs/>
                <w:i/>
                <w:vertAlign w:val="superscript"/>
              </w:rPr>
              <w:t>ème</w:t>
            </w:r>
            <w:r w:rsidRPr="00B25770">
              <w:rPr>
                <w:rFonts w:cs="Arial"/>
                <w:b/>
                <w:bCs/>
                <w:i/>
              </w:rPr>
              <w:t xml:space="preserve"> catégorie de la Sécurité Sociale)</w:t>
            </w:r>
          </w:p>
        </w:tc>
        <w:tc>
          <w:tcPr>
            <w:tcW w:w="3237" w:type="dxa"/>
            <w:shd w:val="clear" w:color="auto" w:fill="A6A6A6" w:themeFill="background1" w:themeFillShade="A6"/>
            <w:vAlign w:val="center"/>
            <w:hideMark/>
          </w:tcPr>
          <w:p w:rsidR="003C2F7A" w:rsidRPr="00B25770" w:rsidRDefault="003C2F7A" w:rsidP="00B21E34">
            <w:pPr>
              <w:tabs>
                <w:tab w:val="left" w:pos="1005"/>
              </w:tabs>
              <w:jc w:val="center"/>
              <w:rPr>
                <w:rFonts w:cs="Arial"/>
                <w:b/>
                <w:bCs/>
                <w:i/>
              </w:rPr>
            </w:pPr>
          </w:p>
        </w:tc>
      </w:tr>
      <w:tr w:rsidR="003C2F7A" w:rsidRPr="00B25770" w:rsidTr="006C063E">
        <w:trPr>
          <w:trHeight w:val="280"/>
        </w:trPr>
        <w:tc>
          <w:tcPr>
            <w:tcW w:w="5825" w:type="dxa"/>
            <w:noWrap/>
            <w:hideMark/>
          </w:tcPr>
          <w:p w:rsidR="003C2F7A" w:rsidRPr="00B25770" w:rsidRDefault="003C2F7A" w:rsidP="00C12668">
            <w:pPr>
              <w:tabs>
                <w:tab w:val="left" w:pos="1005"/>
              </w:tabs>
              <w:jc w:val="both"/>
              <w:rPr>
                <w:rFonts w:cs="Arial"/>
                <w:i/>
              </w:rPr>
            </w:pPr>
            <w:r w:rsidRPr="00B25770">
              <w:rPr>
                <w:rFonts w:cs="Arial"/>
                <w:bCs/>
                <w:i/>
              </w:rPr>
              <w:t>Versement d'un capital égal à (en % du salaire annuel</w:t>
            </w:r>
            <w:r w:rsidR="004444EB" w:rsidRPr="00B25770">
              <w:rPr>
                <w:rFonts w:cs="Arial"/>
                <w:bCs/>
                <w:i/>
              </w:rPr>
              <w:t xml:space="preserve"> brut de référence</w:t>
            </w:r>
            <w:r w:rsidR="00C12668" w:rsidRPr="00B25770">
              <w:rPr>
                <w:color w:val="1F497D"/>
              </w:rPr>
              <w:t xml:space="preserve"> </w:t>
            </w:r>
            <w:r w:rsidR="00C12668" w:rsidRPr="00B25770">
              <w:rPr>
                <w:i/>
              </w:rPr>
              <w:t>déclaré à l’administration fiscale et limité aux tranches A, B, C</w:t>
            </w:r>
            <w:r w:rsidRPr="00B25770">
              <w:rPr>
                <w:rFonts w:cs="Arial"/>
                <w:bCs/>
                <w:i/>
              </w:rPr>
              <w:t>) :</w:t>
            </w:r>
            <w:r w:rsidRPr="00B25770">
              <w:rPr>
                <w:rFonts w:cs="Arial"/>
                <w:i/>
              </w:rPr>
              <w:t> </w:t>
            </w:r>
          </w:p>
        </w:tc>
        <w:tc>
          <w:tcPr>
            <w:tcW w:w="3237" w:type="dxa"/>
            <w:noWrap/>
            <w:hideMark/>
          </w:tcPr>
          <w:p w:rsidR="003C2F7A" w:rsidRPr="00B25770" w:rsidRDefault="003C2F7A" w:rsidP="00B21E34">
            <w:pPr>
              <w:tabs>
                <w:tab w:val="left" w:pos="1005"/>
              </w:tabs>
              <w:jc w:val="center"/>
              <w:rPr>
                <w:rFonts w:cs="Arial"/>
                <w:i/>
              </w:rPr>
            </w:pPr>
          </w:p>
        </w:tc>
      </w:tr>
      <w:tr w:rsidR="003C2F7A" w:rsidRPr="00B25770" w:rsidTr="006C063E">
        <w:trPr>
          <w:trHeight w:val="402"/>
        </w:trPr>
        <w:tc>
          <w:tcPr>
            <w:tcW w:w="5825" w:type="dxa"/>
            <w:noWrap/>
            <w:hideMark/>
          </w:tcPr>
          <w:p w:rsidR="003C2F7A" w:rsidRPr="00B25770" w:rsidRDefault="003C2F7A" w:rsidP="00B21E34">
            <w:pPr>
              <w:tabs>
                <w:tab w:val="left" w:pos="1005"/>
              </w:tabs>
              <w:rPr>
                <w:rFonts w:cs="Arial"/>
                <w:i/>
              </w:rPr>
            </w:pPr>
            <w:r w:rsidRPr="00B25770">
              <w:rPr>
                <w:rFonts w:cs="Arial"/>
                <w:i/>
              </w:rPr>
              <w:t>*Célibataire, Veuf, Divorcé, sans enfant à charge</w:t>
            </w:r>
          </w:p>
        </w:tc>
        <w:tc>
          <w:tcPr>
            <w:tcW w:w="3237" w:type="dxa"/>
            <w:noWrap/>
            <w:hideMark/>
          </w:tcPr>
          <w:p w:rsidR="003C2F7A" w:rsidRPr="00B25770" w:rsidRDefault="003C2F7A" w:rsidP="00B21E34">
            <w:pPr>
              <w:tabs>
                <w:tab w:val="left" w:pos="1005"/>
              </w:tabs>
              <w:jc w:val="center"/>
              <w:rPr>
                <w:rFonts w:cs="Arial"/>
                <w:bCs/>
                <w:i/>
              </w:rPr>
            </w:pPr>
            <w:r w:rsidRPr="00B25770">
              <w:rPr>
                <w:rFonts w:cs="Arial"/>
                <w:bCs/>
                <w:i/>
              </w:rPr>
              <w:t>280%</w:t>
            </w:r>
          </w:p>
        </w:tc>
      </w:tr>
      <w:tr w:rsidR="003C2F7A" w:rsidRPr="00B25770" w:rsidTr="006C063E">
        <w:trPr>
          <w:trHeight w:val="402"/>
        </w:trPr>
        <w:tc>
          <w:tcPr>
            <w:tcW w:w="5825" w:type="dxa"/>
            <w:noWrap/>
            <w:hideMark/>
          </w:tcPr>
          <w:p w:rsidR="003C2F7A" w:rsidRPr="00B25770" w:rsidRDefault="003C2F7A" w:rsidP="00B21E34">
            <w:pPr>
              <w:tabs>
                <w:tab w:val="left" w:pos="1005"/>
              </w:tabs>
              <w:rPr>
                <w:rFonts w:cs="Arial"/>
                <w:i/>
              </w:rPr>
            </w:pPr>
            <w:r w:rsidRPr="00B25770">
              <w:rPr>
                <w:rFonts w:cs="Arial"/>
                <w:i/>
              </w:rPr>
              <w:t>*Marié, concubin, pacsé sans enfant à charge</w:t>
            </w:r>
          </w:p>
        </w:tc>
        <w:tc>
          <w:tcPr>
            <w:tcW w:w="3237" w:type="dxa"/>
            <w:noWrap/>
            <w:hideMark/>
          </w:tcPr>
          <w:p w:rsidR="003C2F7A" w:rsidRPr="00B25770" w:rsidRDefault="003C2F7A" w:rsidP="00B21E34">
            <w:pPr>
              <w:tabs>
                <w:tab w:val="left" w:pos="1005"/>
              </w:tabs>
              <w:jc w:val="center"/>
              <w:rPr>
                <w:rFonts w:cs="Arial"/>
                <w:bCs/>
                <w:i/>
              </w:rPr>
            </w:pPr>
            <w:r w:rsidRPr="00B25770">
              <w:rPr>
                <w:rFonts w:cs="Arial"/>
                <w:bCs/>
                <w:i/>
              </w:rPr>
              <w:t>330%</w:t>
            </w:r>
          </w:p>
        </w:tc>
      </w:tr>
      <w:tr w:rsidR="003C2F7A" w:rsidRPr="00B25770" w:rsidTr="006C063E">
        <w:trPr>
          <w:trHeight w:val="402"/>
        </w:trPr>
        <w:tc>
          <w:tcPr>
            <w:tcW w:w="5825" w:type="dxa"/>
            <w:noWrap/>
            <w:hideMark/>
          </w:tcPr>
          <w:p w:rsidR="003C2F7A" w:rsidRPr="00B25770" w:rsidRDefault="003C2F7A" w:rsidP="00B21E34">
            <w:pPr>
              <w:tabs>
                <w:tab w:val="left" w:pos="1005"/>
              </w:tabs>
              <w:rPr>
                <w:rFonts w:cs="Arial"/>
                <w:i/>
              </w:rPr>
            </w:pPr>
            <w:r w:rsidRPr="00B25770">
              <w:rPr>
                <w:rFonts w:cs="Arial"/>
                <w:i/>
              </w:rPr>
              <w:t>*Célibataire, Veuf, Divorcé, avec un enfant à charge</w:t>
            </w:r>
          </w:p>
        </w:tc>
        <w:tc>
          <w:tcPr>
            <w:tcW w:w="3237" w:type="dxa"/>
            <w:noWrap/>
            <w:hideMark/>
          </w:tcPr>
          <w:p w:rsidR="003C2F7A" w:rsidRPr="00B25770" w:rsidRDefault="003C2F7A" w:rsidP="00B21E34">
            <w:pPr>
              <w:tabs>
                <w:tab w:val="left" w:pos="1005"/>
              </w:tabs>
              <w:jc w:val="center"/>
              <w:rPr>
                <w:rFonts w:cs="Arial"/>
                <w:bCs/>
                <w:i/>
              </w:rPr>
            </w:pPr>
            <w:r w:rsidRPr="00B25770">
              <w:rPr>
                <w:rFonts w:cs="Arial"/>
                <w:bCs/>
                <w:i/>
              </w:rPr>
              <w:t>390%</w:t>
            </w:r>
          </w:p>
        </w:tc>
      </w:tr>
      <w:tr w:rsidR="003C2F7A" w:rsidRPr="00B25770" w:rsidTr="006C063E">
        <w:trPr>
          <w:trHeight w:val="402"/>
        </w:trPr>
        <w:tc>
          <w:tcPr>
            <w:tcW w:w="5825" w:type="dxa"/>
            <w:noWrap/>
            <w:hideMark/>
          </w:tcPr>
          <w:p w:rsidR="003C2F7A" w:rsidRPr="00B25770" w:rsidRDefault="003C2F7A" w:rsidP="00B21E34">
            <w:pPr>
              <w:tabs>
                <w:tab w:val="left" w:pos="1005"/>
              </w:tabs>
              <w:rPr>
                <w:rFonts w:cs="Arial"/>
                <w:i/>
              </w:rPr>
            </w:pPr>
            <w:r w:rsidRPr="00B25770">
              <w:rPr>
                <w:rFonts w:cs="Arial"/>
                <w:i/>
              </w:rPr>
              <w:t xml:space="preserve">*Marié, concubin, pacsé avec un enfant à charge </w:t>
            </w:r>
          </w:p>
        </w:tc>
        <w:tc>
          <w:tcPr>
            <w:tcW w:w="3237" w:type="dxa"/>
            <w:noWrap/>
            <w:hideMark/>
          </w:tcPr>
          <w:p w:rsidR="003C2F7A" w:rsidRPr="00B25770" w:rsidRDefault="003C2F7A" w:rsidP="00B21E34">
            <w:pPr>
              <w:tabs>
                <w:tab w:val="left" w:pos="1005"/>
              </w:tabs>
              <w:jc w:val="center"/>
              <w:rPr>
                <w:rFonts w:cs="Arial"/>
                <w:bCs/>
                <w:i/>
              </w:rPr>
            </w:pPr>
            <w:r w:rsidRPr="00B25770">
              <w:rPr>
                <w:rFonts w:cs="Arial"/>
                <w:bCs/>
                <w:i/>
              </w:rPr>
              <w:t>390%</w:t>
            </w:r>
          </w:p>
        </w:tc>
      </w:tr>
      <w:tr w:rsidR="003C2F7A" w:rsidRPr="00B25770" w:rsidTr="006C063E">
        <w:trPr>
          <w:trHeight w:val="402"/>
        </w:trPr>
        <w:tc>
          <w:tcPr>
            <w:tcW w:w="5825" w:type="dxa"/>
            <w:noWrap/>
            <w:hideMark/>
          </w:tcPr>
          <w:p w:rsidR="003C2F7A" w:rsidRPr="00B25770" w:rsidRDefault="003C2F7A" w:rsidP="00B21E34">
            <w:pPr>
              <w:tabs>
                <w:tab w:val="left" w:pos="1005"/>
              </w:tabs>
              <w:rPr>
                <w:rFonts w:cs="Arial"/>
                <w:i/>
              </w:rPr>
            </w:pPr>
            <w:r w:rsidRPr="00B25770">
              <w:rPr>
                <w:rFonts w:cs="Arial"/>
                <w:i/>
              </w:rPr>
              <w:t>*Majoration par personne à charge supplémentaire</w:t>
            </w:r>
          </w:p>
        </w:tc>
        <w:tc>
          <w:tcPr>
            <w:tcW w:w="3237" w:type="dxa"/>
            <w:noWrap/>
            <w:hideMark/>
          </w:tcPr>
          <w:p w:rsidR="003C2F7A" w:rsidRPr="00B25770" w:rsidRDefault="003C2F7A" w:rsidP="00B21E34">
            <w:pPr>
              <w:tabs>
                <w:tab w:val="left" w:pos="1005"/>
              </w:tabs>
              <w:jc w:val="center"/>
              <w:rPr>
                <w:rFonts w:cs="Arial"/>
                <w:bCs/>
                <w:i/>
              </w:rPr>
            </w:pPr>
            <w:r w:rsidRPr="00B25770">
              <w:rPr>
                <w:rFonts w:cs="Arial"/>
                <w:bCs/>
                <w:i/>
              </w:rPr>
              <w:t>60%</w:t>
            </w:r>
          </w:p>
        </w:tc>
      </w:tr>
      <w:tr w:rsidR="003C2F7A" w:rsidRPr="00B25770" w:rsidTr="006C063E">
        <w:trPr>
          <w:trHeight w:val="1181"/>
        </w:trPr>
        <w:tc>
          <w:tcPr>
            <w:tcW w:w="5825" w:type="dxa"/>
            <w:noWrap/>
            <w:hideMark/>
          </w:tcPr>
          <w:p w:rsidR="003C2F7A" w:rsidRPr="00B25770" w:rsidRDefault="003C2F7A" w:rsidP="004444EB">
            <w:pPr>
              <w:tabs>
                <w:tab w:val="left" w:pos="1005"/>
              </w:tabs>
              <w:rPr>
                <w:rFonts w:cs="Arial"/>
                <w:i/>
              </w:rPr>
            </w:pPr>
            <w:r w:rsidRPr="00B25770">
              <w:rPr>
                <w:rFonts w:cs="Arial"/>
                <w:i/>
              </w:rPr>
              <w:t>*Minima CCN Bureaux d'Etudes Techniques et Cabinets d'Ingénieurs Conseils</w:t>
            </w:r>
            <w:r w:rsidRPr="00B25770">
              <w:rPr>
                <w:rFonts w:cs="Arial"/>
                <w:i/>
              </w:rPr>
              <w:br/>
              <w:t>Minima calculés sur base PASS en vigueur au moment de l'évènement, avec application d'un prorata pour salariés à temps partiel</w:t>
            </w:r>
          </w:p>
        </w:tc>
        <w:tc>
          <w:tcPr>
            <w:tcW w:w="3237" w:type="dxa"/>
            <w:hideMark/>
          </w:tcPr>
          <w:p w:rsidR="003C2F7A" w:rsidRPr="00B25770" w:rsidRDefault="003C2F7A" w:rsidP="00B21E34">
            <w:pPr>
              <w:tabs>
                <w:tab w:val="left" w:pos="1005"/>
              </w:tabs>
              <w:jc w:val="center"/>
              <w:rPr>
                <w:rFonts w:cs="Arial"/>
                <w:bCs/>
                <w:i/>
              </w:rPr>
            </w:pPr>
            <w:r w:rsidRPr="00B25770">
              <w:rPr>
                <w:rFonts w:cs="Arial"/>
                <w:bCs/>
                <w:i/>
              </w:rPr>
              <w:t>Minimum Non Cadres : 170% PASS</w:t>
            </w:r>
            <w:r w:rsidRPr="00B25770">
              <w:rPr>
                <w:rFonts w:cs="Arial"/>
                <w:bCs/>
                <w:i/>
              </w:rPr>
              <w:br/>
              <w:t>Minimum Cadre : 340% PASS</w:t>
            </w:r>
          </w:p>
        </w:tc>
      </w:tr>
      <w:tr w:rsidR="003C2F7A" w:rsidRPr="00B25770" w:rsidTr="006C063E">
        <w:trPr>
          <w:trHeight w:val="407"/>
        </w:trPr>
        <w:tc>
          <w:tcPr>
            <w:tcW w:w="5825" w:type="dxa"/>
            <w:shd w:val="clear" w:color="auto" w:fill="A6A6A6" w:themeFill="background1" w:themeFillShade="A6"/>
            <w:noWrap/>
            <w:vAlign w:val="center"/>
            <w:hideMark/>
          </w:tcPr>
          <w:p w:rsidR="003C2F7A" w:rsidRPr="00B25770" w:rsidRDefault="003C2F7A" w:rsidP="00B21E34">
            <w:pPr>
              <w:tabs>
                <w:tab w:val="left" w:pos="1005"/>
              </w:tabs>
              <w:rPr>
                <w:rFonts w:cs="Arial"/>
                <w:b/>
                <w:i/>
              </w:rPr>
            </w:pPr>
            <w:r w:rsidRPr="00B25770">
              <w:rPr>
                <w:rFonts w:cs="Arial"/>
                <w:b/>
                <w:i/>
              </w:rPr>
              <w:t>A2 -RENTE D'EDUCATION</w:t>
            </w:r>
          </w:p>
        </w:tc>
        <w:tc>
          <w:tcPr>
            <w:tcW w:w="3237" w:type="dxa"/>
            <w:shd w:val="clear" w:color="auto" w:fill="A6A6A6" w:themeFill="background1" w:themeFillShade="A6"/>
            <w:noWrap/>
            <w:vAlign w:val="center"/>
            <w:hideMark/>
          </w:tcPr>
          <w:p w:rsidR="003C2F7A" w:rsidRPr="00B25770" w:rsidRDefault="003C2F7A" w:rsidP="00B21E34">
            <w:pPr>
              <w:tabs>
                <w:tab w:val="left" w:pos="1005"/>
              </w:tabs>
              <w:rPr>
                <w:rFonts w:cs="Arial"/>
                <w:i/>
              </w:rPr>
            </w:pPr>
          </w:p>
        </w:tc>
      </w:tr>
      <w:tr w:rsidR="003C2F7A" w:rsidRPr="00B25770" w:rsidTr="006C063E">
        <w:trPr>
          <w:trHeight w:val="402"/>
        </w:trPr>
        <w:tc>
          <w:tcPr>
            <w:tcW w:w="5825" w:type="dxa"/>
            <w:noWrap/>
            <w:hideMark/>
          </w:tcPr>
          <w:p w:rsidR="003C2F7A" w:rsidRPr="00B25770" w:rsidRDefault="003C2F7A" w:rsidP="00B21E34">
            <w:pPr>
              <w:tabs>
                <w:tab w:val="left" w:pos="1005"/>
              </w:tabs>
              <w:rPr>
                <w:rFonts w:cs="Arial"/>
                <w:i/>
              </w:rPr>
            </w:pPr>
            <w:r w:rsidRPr="00B25770">
              <w:rPr>
                <w:rFonts w:cs="Arial"/>
                <w:bCs/>
                <w:i/>
              </w:rPr>
              <w:t>Versement d'une rente par enfant à charge égale à :</w:t>
            </w:r>
            <w:r w:rsidRPr="00B25770">
              <w:rPr>
                <w:rFonts w:cs="Arial"/>
                <w:i/>
              </w:rPr>
              <w:t> </w:t>
            </w:r>
          </w:p>
        </w:tc>
        <w:tc>
          <w:tcPr>
            <w:tcW w:w="3237" w:type="dxa"/>
            <w:noWrap/>
            <w:hideMark/>
          </w:tcPr>
          <w:p w:rsidR="003C2F7A" w:rsidRPr="00B25770" w:rsidRDefault="003C2F7A" w:rsidP="00B21E34">
            <w:pPr>
              <w:tabs>
                <w:tab w:val="left" w:pos="1005"/>
              </w:tabs>
              <w:jc w:val="center"/>
              <w:rPr>
                <w:rFonts w:cs="Arial"/>
                <w:bCs/>
                <w:i/>
              </w:rPr>
            </w:pPr>
            <w:r w:rsidRPr="00B25770">
              <w:rPr>
                <w:rFonts w:cs="Arial"/>
                <w:bCs/>
                <w:i/>
              </w:rPr>
              <w:t>TA + TB +TC</w:t>
            </w:r>
          </w:p>
        </w:tc>
      </w:tr>
      <w:tr w:rsidR="003C2F7A" w:rsidRPr="00B25770" w:rsidTr="006C063E">
        <w:trPr>
          <w:trHeight w:val="510"/>
        </w:trPr>
        <w:tc>
          <w:tcPr>
            <w:tcW w:w="5825" w:type="dxa"/>
            <w:noWrap/>
            <w:hideMark/>
          </w:tcPr>
          <w:p w:rsidR="003C2F7A" w:rsidRPr="00B25770" w:rsidRDefault="003C2F7A" w:rsidP="00B21E34">
            <w:pPr>
              <w:tabs>
                <w:tab w:val="left" w:pos="1005"/>
              </w:tabs>
              <w:rPr>
                <w:rFonts w:cs="Arial"/>
                <w:i/>
              </w:rPr>
            </w:pPr>
            <w:r w:rsidRPr="00B25770">
              <w:rPr>
                <w:rFonts w:cs="Arial"/>
                <w:i/>
              </w:rPr>
              <w:t>*Naissance jusqu'à l'école primaire</w:t>
            </w:r>
          </w:p>
        </w:tc>
        <w:tc>
          <w:tcPr>
            <w:tcW w:w="3237" w:type="dxa"/>
            <w:noWrap/>
            <w:hideMark/>
          </w:tcPr>
          <w:p w:rsidR="003C2F7A" w:rsidRPr="00B25770" w:rsidRDefault="003C2F7A" w:rsidP="00B21E34">
            <w:pPr>
              <w:tabs>
                <w:tab w:val="left" w:pos="1005"/>
              </w:tabs>
              <w:jc w:val="center"/>
              <w:rPr>
                <w:rFonts w:cs="Arial"/>
                <w:bCs/>
                <w:i/>
              </w:rPr>
            </w:pPr>
            <w:r w:rsidRPr="00B25770">
              <w:rPr>
                <w:rFonts w:cs="Arial"/>
                <w:bCs/>
                <w:i/>
              </w:rPr>
              <w:t>jusqu'au 12° anniversaire : 12%</w:t>
            </w:r>
          </w:p>
        </w:tc>
      </w:tr>
      <w:tr w:rsidR="003C2F7A" w:rsidRPr="00B25770" w:rsidTr="006C063E">
        <w:trPr>
          <w:trHeight w:val="435"/>
        </w:trPr>
        <w:tc>
          <w:tcPr>
            <w:tcW w:w="5825" w:type="dxa"/>
            <w:noWrap/>
            <w:hideMark/>
          </w:tcPr>
          <w:p w:rsidR="003C2F7A" w:rsidRPr="00B25770" w:rsidRDefault="003C2F7A" w:rsidP="00B21E34">
            <w:pPr>
              <w:tabs>
                <w:tab w:val="left" w:pos="1005"/>
              </w:tabs>
              <w:rPr>
                <w:rFonts w:cs="Arial"/>
                <w:i/>
              </w:rPr>
            </w:pPr>
            <w:r w:rsidRPr="00B25770">
              <w:rPr>
                <w:rFonts w:cs="Arial"/>
                <w:i/>
              </w:rPr>
              <w:t>*du collège, lycée et autres formations qualifiantes</w:t>
            </w:r>
          </w:p>
        </w:tc>
        <w:tc>
          <w:tcPr>
            <w:tcW w:w="3237" w:type="dxa"/>
            <w:noWrap/>
            <w:hideMark/>
          </w:tcPr>
          <w:p w:rsidR="003C2F7A" w:rsidRPr="00B25770" w:rsidRDefault="003C2F7A" w:rsidP="00B21E34">
            <w:pPr>
              <w:tabs>
                <w:tab w:val="left" w:pos="1005"/>
              </w:tabs>
              <w:jc w:val="center"/>
              <w:rPr>
                <w:rFonts w:cs="Arial"/>
                <w:bCs/>
                <w:i/>
              </w:rPr>
            </w:pPr>
            <w:r w:rsidRPr="00B25770">
              <w:rPr>
                <w:rFonts w:cs="Arial"/>
                <w:bCs/>
                <w:i/>
              </w:rPr>
              <w:t>de 12 ans jusqu'au 18° anniversaire : 14%</w:t>
            </w:r>
          </w:p>
        </w:tc>
      </w:tr>
      <w:tr w:rsidR="003C2F7A" w:rsidRPr="00B25770" w:rsidTr="006C063E">
        <w:trPr>
          <w:trHeight w:val="520"/>
        </w:trPr>
        <w:tc>
          <w:tcPr>
            <w:tcW w:w="5825" w:type="dxa"/>
            <w:noWrap/>
            <w:hideMark/>
          </w:tcPr>
          <w:p w:rsidR="003C2F7A" w:rsidRPr="00B25770" w:rsidRDefault="003C2F7A" w:rsidP="00B21E34">
            <w:pPr>
              <w:tabs>
                <w:tab w:val="left" w:pos="1005"/>
              </w:tabs>
              <w:rPr>
                <w:rFonts w:cs="Arial"/>
                <w:i/>
              </w:rPr>
            </w:pPr>
            <w:r w:rsidRPr="00B25770">
              <w:rPr>
                <w:rFonts w:cs="Arial"/>
                <w:i/>
              </w:rPr>
              <w:t>*études supérieures et jusqu'à 28 ans maxi</w:t>
            </w:r>
          </w:p>
        </w:tc>
        <w:tc>
          <w:tcPr>
            <w:tcW w:w="3237" w:type="dxa"/>
            <w:noWrap/>
            <w:hideMark/>
          </w:tcPr>
          <w:p w:rsidR="003C2F7A" w:rsidRPr="00B25770" w:rsidRDefault="003C2F7A" w:rsidP="00B21E34">
            <w:pPr>
              <w:tabs>
                <w:tab w:val="left" w:pos="1005"/>
              </w:tabs>
              <w:jc w:val="center"/>
              <w:rPr>
                <w:rFonts w:cs="Arial"/>
                <w:bCs/>
                <w:i/>
              </w:rPr>
            </w:pPr>
            <w:r w:rsidRPr="00B25770">
              <w:rPr>
                <w:rFonts w:cs="Arial"/>
                <w:bCs/>
                <w:i/>
              </w:rPr>
              <w:t>de 18 ans jusqu'au 26° anniversaire si étude : 17%</w:t>
            </w:r>
          </w:p>
        </w:tc>
      </w:tr>
      <w:tr w:rsidR="003C2F7A" w:rsidRPr="00B25770" w:rsidTr="006C063E">
        <w:trPr>
          <w:trHeight w:val="1650"/>
        </w:trPr>
        <w:tc>
          <w:tcPr>
            <w:tcW w:w="5825" w:type="dxa"/>
            <w:noWrap/>
            <w:hideMark/>
          </w:tcPr>
          <w:p w:rsidR="003C2F7A" w:rsidRPr="00B25770" w:rsidRDefault="003C2F7A" w:rsidP="004444EB">
            <w:pPr>
              <w:tabs>
                <w:tab w:val="left" w:pos="1005"/>
              </w:tabs>
              <w:rPr>
                <w:rFonts w:cs="Arial"/>
                <w:i/>
              </w:rPr>
            </w:pPr>
            <w:r w:rsidRPr="00B25770">
              <w:rPr>
                <w:rFonts w:cs="Arial"/>
                <w:i/>
              </w:rPr>
              <w:t>Minima CCN Bureaux d'Etudes Techniques et Cabinets d'Ingénieurs Conseils</w:t>
            </w:r>
            <w:r w:rsidRPr="00B25770">
              <w:rPr>
                <w:rFonts w:cs="Arial"/>
                <w:i/>
              </w:rPr>
              <w:br/>
              <w:t>Minima calculés sur base PASS en vigueur au moment de l'évènement, avec application d'un prorata pour salariés à temps partiel</w:t>
            </w:r>
          </w:p>
        </w:tc>
        <w:tc>
          <w:tcPr>
            <w:tcW w:w="3237" w:type="dxa"/>
            <w:hideMark/>
          </w:tcPr>
          <w:p w:rsidR="003C2F7A" w:rsidRPr="00B25770" w:rsidRDefault="003C2F7A" w:rsidP="00B21E34">
            <w:pPr>
              <w:tabs>
                <w:tab w:val="left" w:pos="1005"/>
              </w:tabs>
              <w:jc w:val="center"/>
              <w:rPr>
                <w:rFonts w:cs="Arial"/>
                <w:bCs/>
                <w:i/>
              </w:rPr>
            </w:pPr>
            <w:r w:rsidRPr="00B25770">
              <w:rPr>
                <w:rFonts w:cs="Arial"/>
                <w:bCs/>
                <w:i/>
              </w:rPr>
              <w:t>Minimum Non Cadre : 12% jusqu'au 18ème anniversaire et 17% jusqu'au 26ème anniversaire</w:t>
            </w:r>
            <w:r w:rsidRPr="00B25770">
              <w:rPr>
                <w:rFonts w:cs="Arial"/>
                <w:bCs/>
                <w:i/>
              </w:rPr>
              <w:br/>
              <w:t>Minimum Cadre : 24% jusqu'au 18ème anniversaire et 30% du 18ème au 26ème anniversaire</w:t>
            </w:r>
          </w:p>
        </w:tc>
      </w:tr>
    </w:tbl>
    <w:p w:rsidR="006C063E" w:rsidRPr="00B25770" w:rsidRDefault="006C063E">
      <w:pPr>
        <w:rPr>
          <w:i/>
        </w:rPr>
      </w:pPr>
      <w:r w:rsidRPr="00B25770">
        <w:rPr>
          <w:i/>
        </w:rPr>
        <w:br w:type="page"/>
      </w:r>
    </w:p>
    <w:tbl>
      <w:tblPr>
        <w:tblStyle w:val="Grilledutableau"/>
        <w:tblW w:w="0" w:type="auto"/>
        <w:tblLook w:val="04A0" w:firstRow="1" w:lastRow="0" w:firstColumn="1" w:lastColumn="0" w:noHBand="0" w:noVBand="1"/>
      </w:tblPr>
      <w:tblGrid>
        <w:gridCol w:w="5825"/>
        <w:gridCol w:w="3237"/>
      </w:tblGrid>
      <w:tr w:rsidR="003C2F7A" w:rsidRPr="00B25770" w:rsidTr="006C063E">
        <w:trPr>
          <w:trHeight w:val="696"/>
        </w:trPr>
        <w:tc>
          <w:tcPr>
            <w:tcW w:w="5825" w:type="dxa"/>
            <w:shd w:val="clear" w:color="auto" w:fill="A6A6A6" w:themeFill="background1" w:themeFillShade="A6"/>
            <w:noWrap/>
            <w:vAlign w:val="center"/>
            <w:hideMark/>
          </w:tcPr>
          <w:p w:rsidR="003C2F7A" w:rsidRPr="00B25770" w:rsidRDefault="003C2F7A" w:rsidP="00B21E34">
            <w:pPr>
              <w:tabs>
                <w:tab w:val="left" w:pos="1005"/>
              </w:tabs>
              <w:rPr>
                <w:rFonts w:cs="Arial"/>
                <w:b/>
                <w:bCs/>
                <w:i/>
              </w:rPr>
            </w:pPr>
            <w:r w:rsidRPr="00B25770">
              <w:rPr>
                <w:rFonts w:cs="Arial"/>
                <w:b/>
                <w:bCs/>
                <w:i/>
              </w:rPr>
              <w:lastRenderedPageBreak/>
              <w:t xml:space="preserve">A3 -DOUBLE EFFET (décès simultané ou postérieur du conjoint) </w:t>
            </w:r>
            <w:r w:rsidRPr="00B25770">
              <w:rPr>
                <w:rFonts w:cs="Arial"/>
                <w:b/>
                <w:bCs/>
                <w:i/>
                <w:iCs/>
              </w:rPr>
              <w:t>ou P.T.I.A. du conjoint</w:t>
            </w:r>
          </w:p>
        </w:tc>
        <w:tc>
          <w:tcPr>
            <w:tcW w:w="3237" w:type="dxa"/>
            <w:shd w:val="clear" w:color="auto" w:fill="A6A6A6" w:themeFill="background1" w:themeFillShade="A6"/>
            <w:hideMark/>
          </w:tcPr>
          <w:p w:rsidR="003C2F7A" w:rsidRPr="00B25770" w:rsidRDefault="003C2F7A" w:rsidP="00B21E34">
            <w:pPr>
              <w:tabs>
                <w:tab w:val="left" w:pos="1005"/>
              </w:tabs>
              <w:jc w:val="center"/>
              <w:rPr>
                <w:rFonts w:cs="Arial"/>
                <w:b/>
                <w:bCs/>
                <w:i/>
              </w:rPr>
            </w:pPr>
          </w:p>
        </w:tc>
      </w:tr>
      <w:tr w:rsidR="003C2F7A" w:rsidRPr="00B25770" w:rsidTr="006C063E">
        <w:trPr>
          <w:trHeight w:val="945"/>
        </w:trPr>
        <w:tc>
          <w:tcPr>
            <w:tcW w:w="5825" w:type="dxa"/>
            <w:hideMark/>
          </w:tcPr>
          <w:p w:rsidR="003C2F7A" w:rsidRPr="00B25770" w:rsidRDefault="003C2F7A" w:rsidP="00B21E34">
            <w:pPr>
              <w:tabs>
                <w:tab w:val="left" w:pos="1005"/>
              </w:tabs>
              <w:rPr>
                <w:rFonts w:cs="Arial"/>
                <w:i/>
              </w:rPr>
            </w:pPr>
            <w:r w:rsidRPr="00B25770">
              <w:rPr>
                <w:rFonts w:cs="Arial"/>
                <w:i/>
              </w:rPr>
              <w:t>Décès du conjoint avant 65 ans non remarié, versement par parts égales aux enfants à charge :</w:t>
            </w:r>
          </w:p>
        </w:tc>
        <w:tc>
          <w:tcPr>
            <w:tcW w:w="3237" w:type="dxa"/>
            <w:hideMark/>
          </w:tcPr>
          <w:p w:rsidR="003C2F7A" w:rsidRPr="00B25770" w:rsidRDefault="003C2F7A" w:rsidP="00B21E34">
            <w:pPr>
              <w:tabs>
                <w:tab w:val="left" w:pos="1005"/>
              </w:tabs>
              <w:jc w:val="center"/>
              <w:rPr>
                <w:rFonts w:cs="Arial"/>
                <w:bCs/>
                <w:i/>
              </w:rPr>
            </w:pPr>
            <w:r w:rsidRPr="00B25770">
              <w:rPr>
                <w:rFonts w:cs="Arial"/>
                <w:bCs/>
                <w:i/>
              </w:rPr>
              <w:t>100% du capital décès toutes causes</w:t>
            </w:r>
            <w:r w:rsidRPr="00B25770">
              <w:rPr>
                <w:rFonts w:cs="Arial"/>
                <w:bCs/>
                <w:i/>
              </w:rPr>
              <w:br/>
              <w:t>Limité à 12 mois après le décès de l'assuré</w:t>
            </w:r>
          </w:p>
        </w:tc>
      </w:tr>
      <w:tr w:rsidR="003C2F7A" w:rsidRPr="00B25770" w:rsidTr="006C063E">
        <w:trPr>
          <w:trHeight w:val="308"/>
        </w:trPr>
        <w:tc>
          <w:tcPr>
            <w:tcW w:w="5825" w:type="dxa"/>
            <w:shd w:val="clear" w:color="auto" w:fill="A6A6A6" w:themeFill="background1" w:themeFillShade="A6"/>
            <w:noWrap/>
            <w:vAlign w:val="center"/>
            <w:hideMark/>
          </w:tcPr>
          <w:p w:rsidR="003C2F7A" w:rsidRPr="00B25770" w:rsidRDefault="003C2F7A" w:rsidP="00B21E34">
            <w:pPr>
              <w:tabs>
                <w:tab w:val="left" w:pos="1005"/>
              </w:tabs>
              <w:rPr>
                <w:rFonts w:cs="Arial"/>
                <w:b/>
                <w:bCs/>
                <w:i/>
              </w:rPr>
            </w:pPr>
            <w:r w:rsidRPr="00B25770">
              <w:rPr>
                <w:rFonts w:cs="Arial"/>
                <w:b/>
                <w:bCs/>
                <w:i/>
              </w:rPr>
              <w:t>B1 -INCAPACITE DE TRAVAIL</w:t>
            </w:r>
          </w:p>
        </w:tc>
        <w:tc>
          <w:tcPr>
            <w:tcW w:w="3237" w:type="dxa"/>
            <w:shd w:val="clear" w:color="auto" w:fill="A6A6A6" w:themeFill="background1" w:themeFillShade="A6"/>
            <w:hideMark/>
          </w:tcPr>
          <w:p w:rsidR="003C2F7A" w:rsidRPr="00B25770" w:rsidRDefault="003C2F7A" w:rsidP="00B21E34">
            <w:pPr>
              <w:tabs>
                <w:tab w:val="left" w:pos="1005"/>
              </w:tabs>
              <w:jc w:val="center"/>
              <w:rPr>
                <w:rFonts w:cs="Arial"/>
                <w:bCs/>
                <w:i/>
              </w:rPr>
            </w:pPr>
          </w:p>
        </w:tc>
      </w:tr>
      <w:tr w:rsidR="003C2F7A" w:rsidRPr="00B25770" w:rsidTr="006C063E">
        <w:trPr>
          <w:trHeight w:val="431"/>
        </w:trPr>
        <w:tc>
          <w:tcPr>
            <w:tcW w:w="5825" w:type="dxa"/>
            <w:noWrap/>
            <w:hideMark/>
          </w:tcPr>
          <w:p w:rsidR="003C2F7A" w:rsidRPr="00B25770" w:rsidRDefault="003C2F7A" w:rsidP="00B21E34">
            <w:pPr>
              <w:tabs>
                <w:tab w:val="left" w:pos="1005"/>
              </w:tabs>
              <w:rPr>
                <w:rFonts w:cs="Arial"/>
                <w:i/>
              </w:rPr>
            </w:pPr>
            <w:r w:rsidRPr="00B25770">
              <w:rPr>
                <w:rFonts w:cs="Arial"/>
                <w:i/>
              </w:rPr>
              <w:t xml:space="preserve">*Point de départ de la garantie : </w:t>
            </w:r>
          </w:p>
        </w:tc>
        <w:tc>
          <w:tcPr>
            <w:tcW w:w="3237" w:type="dxa"/>
            <w:hideMark/>
          </w:tcPr>
          <w:p w:rsidR="003C2F7A" w:rsidRPr="00B25770" w:rsidRDefault="003C2F7A" w:rsidP="00B21E34">
            <w:pPr>
              <w:tabs>
                <w:tab w:val="left" w:pos="1005"/>
              </w:tabs>
              <w:jc w:val="center"/>
              <w:rPr>
                <w:rFonts w:cs="Arial"/>
                <w:bCs/>
                <w:i/>
              </w:rPr>
            </w:pPr>
            <w:r w:rsidRPr="00B25770">
              <w:rPr>
                <w:rFonts w:cs="Arial"/>
                <w:bCs/>
                <w:i/>
              </w:rPr>
              <w:t>91ème jour d'arrêt continu d'arrêt de travail</w:t>
            </w:r>
          </w:p>
        </w:tc>
      </w:tr>
      <w:tr w:rsidR="003C2F7A" w:rsidRPr="00B25770" w:rsidTr="006C063E">
        <w:trPr>
          <w:trHeight w:val="450"/>
        </w:trPr>
        <w:tc>
          <w:tcPr>
            <w:tcW w:w="5825" w:type="dxa"/>
            <w:noWrap/>
            <w:hideMark/>
          </w:tcPr>
          <w:p w:rsidR="003C2F7A" w:rsidRPr="00B25770" w:rsidRDefault="003C2F7A" w:rsidP="00B21E34">
            <w:pPr>
              <w:tabs>
                <w:tab w:val="left" w:pos="1005"/>
              </w:tabs>
              <w:rPr>
                <w:rFonts w:cs="Arial"/>
                <w:i/>
              </w:rPr>
            </w:pPr>
            <w:r w:rsidRPr="00B25770">
              <w:rPr>
                <w:rFonts w:cs="Arial"/>
                <w:i/>
              </w:rPr>
              <w:t>*Montant de l'indemnité :</w:t>
            </w:r>
          </w:p>
        </w:tc>
        <w:tc>
          <w:tcPr>
            <w:tcW w:w="3237" w:type="dxa"/>
            <w:hideMark/>
          </w:tcPr>
          <w:p w:rsidR="003C2F7A" w:rsidRPr="00B25770" w:rsidRDefault="003C2F7A" w:rsidP="00B21E34">
            <w:pPr>
              <w:tabs>
                <w:tab w:val="left" w:pos="1005"/>
              </w:tabs>
              <w:jc w:val="center"/>
              <w:rPr>
                <w:rFonts w:cs="Arial"/>
                <w:bCs/>
                <w:i/>
              </w:rPr>
            </w:pPr>
            <w:r w:rsidRPr="00B25770">
              <w:rPr>
                <w:rFonts w:cs="Arial"/>
                <w:bCs/>
                <w:i/>
              </w:rPr>
              <w:t>85% TA/B/C  - SS  limité à 100% du salaire net</w:t>
            </w:r>
          </w:p>
        </w:tc>
      </w:tr>
      <w:tr w:rsidR="003C2F7A" w:rsidRPr="00B25770" w:rsidTr="006C063E">
        <w:trPr>
          <w:trHeight w:val="423"/>
        </w:trPr>
        <w:tc>
          <w:tcPr>
            <w:tcW w:w="5825" w:type="dxa"/>
            <w:shd w:val="clear" w:color="auto" w:fill="A6A6A6" w:themeFill="background1" w:themeFillShade="A6"/>
            <w:noWrap/>
            <w:vAlign w:val="center"/>
            <w:hideMark/>
          </w:tcPr>
          <w:p w:rsidR="003C2F7A" w:rsidRPr="00B25770" w:rsidRDefault="003C2F7A" w:rsidP="00B21E34">
            <w:pPr>
              <w:tabs>
                <w:tab w:val="left" w:pos="1005"/>
              </w:tabs>
              <w:rPr>
                <w:rFonts w:cs="Arial"/>
                <w:b/>
                <w:bCs/>
                <w:i/>
              </w:rPr>
            </w:pPr>
            <w:r w:rsidRPr="00B25770">
              <w:rPr>
                <w:rFonts w:cs="Arial"/>
                <w:b/>
                <w:bCs/>
                <w:i/>
              </w:rPr>
              <w:t>B2 -INVALIDITE PERMANENTE</w:t>
            </w:r>
          </w:p>
        </w:tc>
        <w:tc>
          <w:tcPr>
            <w:tcW w:w="3237" w:type="dxa"/>
            <w:shd w:val="clear" w:color="auto" w:fill="A6A6A6" w:themeFill="background1" w:themeFillShade="A6"/>
            <w:vAlign w:val="center"/>
            <w:hideMark/>
          </w:tcPr>
          <w:p w:rsidR="003C2F7A" w:rsidRPr="00B25770" w:rsidRDefault="003C2F7A" w:rsidP="00B21E34">
            <w:pPr>
              <w:tabs>
                <w:tab w:val="left" w:pos="1005"/>
              </w:tabs>
              <w:jc w:val="center"/>
              <w:rPr>
                <w:rFonts w:cs="Arial"/>
                <w:bCs/>
                <w:i/>
              </w:rPr>
            </w:pPr>
            <w:r w:rsidRPr="00B25770">
              <w:rPr>
                <w:rFonts w:cs="Arial"/>
                <w:bCs/>
                <w:i/>
              </w:rPr>
              <w:t>Versement d'une rente annuelle sous déduction de la SS</w:t>
            </w:r>
          </w:p>
        </w:tc>
      </w:tr>
      <w:tr w:rsidR="003C2F7A" w:rsidRPr="00B25770" w:rsidTr="006C063E">
        <w:trPr>
          <w:trHeight w:val="281"/>
        </w:trPr>
        <w:tc>
          <w:tcPr>
            <w:tcW w:w="5825" w:type="dxa"/>
            <w:noWrap/>
            <w:hideMark/>
          </w:tcPr>
          <w:p w:rsidR="003C2F7A" w:rsidRPr="00B25770" w:rsidRDefault="003C2F7A" w:rsidP="00B21E34">
            <w:pPr>
              <w:tabs>
                <w:tab w:val="left" w:pos="1005"/>
              </w:tabs>
              <w:rPr>
                <w:rFonts w:cs="Arial"/>
                <w:i/>
              </w:rPr>
            </w:pPr>
            <w:r w:rsidRPr="00B25770">
              <w:rPr>
                <w:rFonts w:cs="Arial"/>
                <w:i/>
              </w:rPr>
              <w:t>*3</w:t>
            </w:r>
            <w:r w:rsidRPr="00B25770">
              <w:rPr>
                <w:rFonts w:cs="Arial"/>
                <w:i/>
                <w:vertAlign w:val="superscript"/>
              </w:rPr>
              <w:t>ème</w:t>
            </w:r>
            <w:r w:rsidRPr="00B25770">
              <w:rPr>
                <w:rFonts w:cs="Arial"/>
                <w:i/>
              </w:rPr>
              <w:t xml:space="preserve"> catégorie de la S.S. :</w:t>
            </w:r>
          </w:p>
        </w:tc>
        <w:tc>
          <w:tcPr>
            <w:tcW w:w="3237" w:type="dxa"/>
            <w:vMerge w:val="restart"/>
            <w:vAlign w:val="center"/>
            <w:hideMark/>
          </w:tcPr>
          <w:p w:rsidR="003C2F7A" w:rsidRPr="00B25770" w:rsidRDefault="003C2F7A" w:rsidP="00B21E34">
            <w:pPr>
              <w:tabs>
                <w:tab w:val="left" w:pos="1005"/>
              </w:tabs>
              <w:jc w:val="center"/>
              <w:rPr>
                <w:rFonts w:cs="Arial"/>
                <w:bCs/>
                <w:i/>
              </w:rPr>
            </w:pPr>
            <w:r w:rsidRPr="00B25770">
              <w:rPr>
                <w:rFonts w:cs="Arial"/>
                <w:bCs/>
                <w:i/>
              </w:rPr>
              <w:t>90 % TA/TB/TC - SS (limité à 100% du salaire net imposable)</w:t>
            </w:r>
          </w:p>
        </w:tc>
      </w:tr>
      <w:tr w:rsidR="003C2F7A" w:rsidRPr="00B25770" w:rsidTr="006C063E">
        <w:trPr>
          <w:trHeight w:val="271"/>
        </w:trPr>
        <w:tc>
          <w:tcPr>
            <w:tcW w:w="5825" w:type="dxa"/>
            <w:noWrap/>
            <w:hideMark/>
          </w:tcPr>
          <w:p w:rsidR="003C2F7A" w:rsidRPr="00B25770" w:rsidRDefault="003C2F7A" w:rsidP="00B21E34">
            <w:pPr>
              <w:tabs>
                <w:tab w:val="left" w:pos="1005"/>
              </w:tabs>
              <w:rPr>
                <w:rFonts w:cs="Arial"/>
                <w:i/>
              </w:rPr>
            </w:pPr>
            <w:r w:rsidRPr="00B25770">
              <w:rPr>
                <w:rFonts w:cs="Arial"/>
                <w:i/>
              </w:rPr>
              <w:t>*2</w:t>
            </w:r>
            <w:r w:rsidRPr="00B25770">
              <w:rPr>
                <w:rFonts w:cs="Arial"/>
                <w:i/>
                <w:vertAlign w:val="superscript"/>
              </w:rPr>
              <w:t>ème</w:t>
            </w:r>
            <w:r w:rsidRPr="00B25770">
              <w:rPr>
                <w:rFonts w:cs="Arial"/>
                <w:i/>
              </w:rPr>
              <w:t xml:space="preserve"> catégorie de la S.S. :</w:t>
            </w:r>
          </w:p>
        </w:tc>
        <w:tc>
          <w:tcPr>
            <w:tcW w:w="3237" w:type="dxa"/>
            <w:vMerge/>
            <w:hideMark/>
          </w:tcPr>
          <w:p w:rsidR="003C2F7A" w:rsidRPr="00B25770" w:rsidRDefault="003C2F7A" w:rsidP="00B21E34">
            <w:pPr>
              <w:tabs>
                <w:tab w:val="left" w:pos="1005"/>
              </w:tabs>
              <w:jc w:val="center"/>
              <w:rPr>
                <w:rFonts w:cs="Arial"/>
                <w:bCs/>
                <w:i/>
              </w:rPr>
            </w:pPr>
          </w:p>
        </w:tc>
      </w:tr>
      <w:tr w:rsidR="003C2F7A" w:rsidRPr="00B25770" w:rsidTr="006C063E">
        <w:trPr>
          <w:trHeight w:val="417"/>
        </w:trPr>
        <w:tc>
          <w:tcPr>
            <w:tcW w:w="5825" w:type="dxa"/>
            <w:noWrap/>
            <w:hideMark/>
          </w:tcPr>
          <w:p w:rsidR="003C2F7A" w:rsidRPr="00B25770" w:rsidRDefault="003C2F7A" w:rsidP="00B21E34">
            <w:pPr>
              <w:tabs>
                <w:tab w:val="left" w:pos="1005"/>
              </w:tabs>
              <w:rPr>
                <w:rFonts w:cs="Arial"/>
                <w:i/>
              </w:rPr>
            </w:pPr>
            <w:r w:rsidRPr="00B25770">
              <w:rPr>
                <w:rFonts w:cs="Arial"/>
                <w:i/>
              </w:rPr>
              <w:t>*1</w:t>
            </w:r>
            <w:r w:rsidRPr="00B25770">
              <w:rPr>
                <w:rFonts w:cs="Arial"/>
                <w:i/>
                <w:vertAlign w:val="superscript"/>
              </w:rPr>
              <w:t>ère</w:t>
            </w:r>
            <w:r w:rsidRPr="00B25770">
              <w:rPr>
                <w:rFonts w:cs="Arial"/>
                <w:i/>
              </w:rPr>
              <w:t xml:space="preserve">  catégorie de la S.S. :</w:t>
            </w:r>
          </w:p>
        </w:tc>
        <w:tc>
          <w:tcPr>
            <w:tcW w:w="3237" w:type="dxa"/>
            <w:hideMark/>
          </w:tcPr>
          <w:p w:rsidR="003C2F7A" w:rsidRPr="00B25770" w:rsidRDefault="003C2F7A" w:rsidP="00B21E34">
            <w:pPr>
              <w:tabs>
                <w:tab w:val="left" w:pos="1005"/>
              </w:tabs>
              <w:jc w:val="center"/>
              <w:rPr>
                <w:rFonts w:cs="Arial"/>
                <w:bCs/>
                <w:i/>
              </w:rPr>
            </w:pPr>
            <w:r w:rsidRPr="00B25770">
              <w:rPr>
                <w:rFonts w:cs="Arial"/>
                <w:bCs/>
                <w:i/>
              </w:rPr>
              <w:t>60 % TA/TB/TC - SS (limité à 100% du salaire net imposable)</w:t>
            </w:r>
          </w:p>
        </w:tc>
      </w:tr>
      <w:tr w:rsidR="003C2F7A" w:rsidRPr="00B25770" w:rsidTr="006C063E">
        <w:trPr>
          <w:trHeight w:val="450"/>
        </w:trPr>
        <w:tc>
          <w:tcPr>
            <w:tcW w:w="5825" w:type="dxa"/>
            <w:noWrap/>
            <w:hideMark/>
          </w:tcPr>
          <w:p w:rsidR="003C2F7A" w:rsidRPr="00B25770" w:rsidRDefault="003C2F7A" w:rsidP="00B21E34">
            <w:pPr>
              <w:tabs>
                <w:tab w:val="left" w:pos="1005"/>
              </w:tabs>
              <w:rPr>
                <w:rFonts w:cs="Arial"/>
                <w:bCs/>
                <w:i/>
              </w:rPr>
            </w:pPr>
            <w:r w:rsidRPr="00B25770">
              <w:rPr>
                <w:rFonts w:cs="Arial"/>
                <w:bCs/>
                <w:i/>
              </w:rPr>
              <w:t>En accident du travail les rentes sont attribuées selon le taux d'AT </w:t>
            </w:r>
          </w:p>
        </w:tc>
        <w:tc>
          <w:tcPr>
            <w:tcW w:w="3237" w:type="dxa"/>
            <w:shd w:val="clear" w:color="auto" w:fill="auto"/>
            <w:noWrap/>
            <w:hideMark/>
          </w:tcPr>
          <w:p w:rsidR="003C2F7A" w:rsidRPr="00B25770" w:rsidRDefault="003C2F7A" w:rsidP="00B21E34">
            <w:pPr>
              <w:tabs>
                <w:tab w:val="left" w:pos="1005"/>
              </w:tabs>
              <w:jc w:val="center"/>
              <w:rPr>
                <w:rFonts w:cs="Arial"/>
                <w:i/>
              </w:rPr>
            </w:pPr>
          </w:p>
        </w:tc>
      </w:tr>
      <w:tr w:rsidR="003C2F7A" w:rsidRPr="00B25770" w:rsidTr="006C063E">
        <w:trPr>
          <w:trHeight w:val="729"/>
        </w:trPr>
        <w:tc>
          <w:tcPr>
            <w:tcW w:w="5825" w:type="dxa"/>
            <w:noWrap/>
            <w:hideMark/>
          </w:tcPr>
          <w:p w:rsidR="003C2F7A" w:rsidRPr="00B25770" w:rsidRDefault="003C2F7A" w:rsidP="00B21E34">
            <w:pPr>
              <w:tabs>
                <w:tab w:val="left" w:pos="1005"/>
              </w:tabs>
              <w:rPr>
                <w:rFonts w:cs="Arial"/>
                <w:i/>
                <w:iCs/>
              </w:rPr>
            </w:pPr>
            <w:r w:rsidRPr="00B25770">
              <w:rPr>
                <w:rFonts w:cs="Arial"/>
                <w:i/>
              </w:rPr>
              <w:t> </w:t>
            </w:r>
            <w:r w:rsidRPr="00B25770">
              <w:rPr>
                <w:rFonts w:cs="Arial"/>
                <w:i/>
                <w:iCs/>
              </w:rPr>
              <w:t>Si taux d'incapacité N reconnu par la SS supérieur ou égal à 66%</w:t>
            </w:r>
          </w:p>
        </w:tc>
        <w:tc>
          <w:tcPr>
            <w:tcW w:w="3237" w:type="dxa"/>
            <w:hideMark/>
          </w:tcPr>
          <w:p w:rsidR="003C2F7A" w:rsidRPr="00B25770" w:rsidRDefault="003C2F7A" w:rsidP="00B21E34">
            <w:pPr>
              <w:tabs>
                <w:tab w:val="left" w:pos="1005"/>
              </w:tabs>
              <w:jc w:val="center"/>
              <w:rPr>
                <w:rFonts w:cs="Arial"/>
                <w:bCs/>
                <w:i/>
              </w:rPr>
            </w:pPr>
            <w:r w:rsidRPr="00B25770">
              <w:rPr>
                <w:rFonts w:cs="Arial"/>
                <w:bCs/>
                <w:i/>
              </w:rPr>
              <w:t>90% TA/TB/TC  - SS</w:t>
            </w:r>
            <w:r w:rsidRPr="00B25770">
              <w:rPr>
                <w:rFonts w:cs="Arial"/>
                <w:bCs/>
                <w:i/>
              </w:rPr>
              <w:br/>
              <w:t>Possibilité de versement du capital décès par anticipation</w:t>
            </w:r>
          </w:p>
        </w:tc>
      </w:tr>
      <w:tr w:rsidR="003C2F7A" w:rsidRPr="00B25770" w:rsidTr="006C063E">
        <w:trPr>
          <w:trHeight w:val="525"/>
        </w:trPr>
        <w:tc>
          <w:tcPr>
            <w:tcW w:w="5825" w:type="dxa"/>
            <w:noWrap/>
            <w:hideMark/>
          </w:tcPr>
          <w:p w:rsidR="003C2F7A" w:rsidRPr="00B25770" w:rsidRDefault="003C2F7A" w:rsidP="00B21E34">
            <w:pPr>
              <w:tabs>
                <w:tab w:val="left" w:pos="1005"/>
              </w:tabs>
              <w:rPr>
                <w:rFonts w:cs="Arial"/>
                <w:i/>
                <w:iCs/>
              </w:rPr>
            </w:pPr>
            <w:r w:rsidRPr="00B25770">
              <w:rPr>
                <w:rFonts w:cs="Arial"/>
                <w:i/>
              </w:rPr>
              <w:t> </w:t>
            </w:r>
            <w:r w:rsidRPr="00B25770">
              <w:rPr>
                <w:rFonts w:cs="Arial"/>
                <w:i/>
                <w:iCs/>
              </w:rPr>
              <w:t>Si taux d'incapacité N reconnu par la SS compris entre 33 et 66%</w:t>
            </w:r>
          </w:p>
        </w:tc>
        <w:tc>
          <w:tcPr>
            <w:tcW w:w="3237" w:type="dxa"/>
            <w:hideMark/>
          </w:tcPr>
          <w:p w:rsidR="003C2F7A" w:rsidRPr="00B25770" w:rsidRDefault="003C2F7A" w:rsidP="00B21E34">
            <w:pPr>
              <w:tabs>
                <w:tab w:val="left" w:pos="1005"/>
              </w:tabs>
              <w:jc w:val="center"/>
              <w:rPr>
                <w:rFonts w:cs="Arial"/>
                <w:bCs/>
                <w:i/>
              </w:rPr>
            </w:pPr>
            <w:r w:rsidRPr="00B25770">
              <w:rPr>
                <w:rFonts w:cs="Arial"/>
                <w:bCs/>
                <w:i/>
              </w:rPr>
              <w:t>(3N/2)  x 90  % TA/TB/TC -SS</w:t>
            </w:r>
          </w:p>
        </w:tc>
      </w:tr>
    </w:tbl>
    <w:p w:rsidR="003C2F7A" w:rsidRPr="00B25770" w:rsidRDefault="003C2F7A" w:rsidP="003C2F7A">
      <w:pPr>
        <w:pStyle w:val="Paragraphedeliste"/>
        <w:spacing w:after="0" w:line="240" w:lineRule="auto"/>
        <w:ind w:left="0"/>
        <w:jc w:val="both"/>
        <w:rPr>
          <w:b/>
        </w:rPr>
      </w:pPr>
    </w:p>
    <w:p w:rsidR="001145F7" w:rsidRPr="00B25770" w:rsidRDefault="001145F7" w:rsidP="003C2F7A">
      <w:pPr>
        <w:pStyle w:val="Paragraphedeliste"/>
        <w:spacing w:after="0" w:line="240" w:lineRule="auto"/>
        <w:ind w:left="0"/>
        <w:jc w:val="both"/>
        <w:rPr>
          <w:b/>
        </w:rPr>
      </w:pPr>
    </w:p>
    <w:p w:rsidR="003C2F7A" w:rsidRPr="00B25770" w:rsidRDefault="001145F7" w:rsidP="003C2F7A">
      <w:pPr>
        <w:spacing w:after="0" w:line="240" w:lineRule="auto"/>
        <w:rPr>
          <w:b/>
          <w:u w:val="single"/>
        </w:rPr>
      </w:pPr>
      <w:r w:rsidRPr="00B25770">
        <w:rPr>
          <w:b/>
          <w:u w:val="single"/>
        </w:rPr>
        <w:t>ARTICLE 6</w:t>
      </w:r>
      <w:r w:rsidR="003C2F7A" w:rsidRPr="00B25770">
        <w:rPr>
          <w:b/>
        </w:rPr>
        <w:tab/>
      </w:r>
      <w:r w:rsidR="003C2F7A" w:rsidRPr="00B25770">
        <w:rPr>
          <w:b/>
          <w:u w:val="single"/>
        </w:rPr>
        <w:t xml:space="preserve">ENTREE EN VIGUEUR, </w:t>
      </w:r>
      <w:r w:rsidR="000C4DF9" w:rsidRPr="00B25770">
        <w:rPr>
          <w:b/>
          <w:u w:val="single"/>
        </w:rPr>
        <w:t xml:space="preserve">DUREE, </w:t>
      </w:r>
      <w:r w:rsidR="003C2F7A" w:rsidRPr="00B25770">
        <w:rPr>
          <w:b/>
          <w:u w:val="single"/>
        </w:rPr>
        <w:t>DEPOT ET PUBLICITE</w:t>
      </w:r>
    </w:p>
    <w:p w:rsidR="003C2F7A" w:rsidRPr="00B25770" w:rsidRDefault="003C2F7A" w:rsidP="003C2F7A">
      <w:pPr>
        <w:pStyle w:val="Paragraphedeliste"/>
        <w:spacing w:after="0" w:line="240" w:lineRule="auto"/>
        <w:ind w:left="0"/>
        <w:jc w:val="both"/>
      </w:pPr>
    </w:p>
    <w:p w:rsidR="000C4DF9" w:rsidRPr="00B25770" w:rsidRDefault="003C2F7A" w:rsidP="003C2F7A">
      <w:pPr>
        <w:pStyle w:val="Paragraphedeliste"/>
        <w:spacing w:after="0" w:line="240" w:lineRule="auto"/>
        <w:ind w:left="0"/>
        <w:jc w:val="both"/>
      </w:pPr>
      <w:r w:rsidRPr="00B25770">
        <w:t>Le présent avenant prendra effet le 1</w:t>
      </w:r>
      <w:r w:rsidRPr="00B25770">
        <w:rPr>
          <w:vertAlign w:val="superscript"/>
        </w:rPr>
        <w:t>er</w:t>
      </w:r>
      <w:r w:rsidRPr="00B25770">
        <w:t xml:space="preserve"> janvier 2018.</w:t>
      </w:r>
      <w:r w:rsidR="00F46257" w:rsidRPr="00B25770">
        <w:t xml:space="preserve"> Il est conclu pour une durée indéterminée.</w:t>
      </w:r>
    </w:p>
    <w:p w:rsidR="00805253" w:rsidRPr="00B25770" w:rsidRDefault="00805253" w:rsidP="003C2F7A">
      <w:pPr>
        <w:pStyle w:val="Paragraphedeliste"/>
        <w:spacing w:after="0" w:line="240" w:lineRule="auto"/>
        <w:ind w:left="0"/>
        <w:jc w:val="both"/>
      </w:pPr>
    </w:p>
    <w:p w:rsidR="003C2F7A" w:rsidRPr="00B25770" w:rsidRDefault="003C2F7A" w:rsidP="003C2F7A">
      <w:pPr>
        <w:pStyle w:val="Paragraphedeliste"/>
        <w:spacing w:after="0" w:line="240" w:lineRule="auto"/>
        <w:ind w:left="0"/>
        <w:jc w:val="both"/>
      </w:pPr>
      <w:r w:rsidRPr="00B25770">
        <w:t>Un exemplaire original du présent avenant sera remis à chaque Organisation Syndicale représentative.</w:t>
      </w:r>
    </w:p>
    <w:p w:rsidR="003C2F7A" w:rsidRPr="00B25770" w:rsidRDefault="003C2F7A" w:rsidP="003C2F7A">
      <w:pPr>
        <w:pStyle w:val="Paragraphedeliste"/>
        <w:spacing w:after="0" w:line="240" w:lineRule="auto"/>
        <w:ind w:left="0"/>
        <w:jc w:val="both"/>
      </w:pPr>
    </w:p>
    <w:p w:rsidR="003C2F7A" w:rsidRPr="00B25770" w:rsidRDefault="003C2F7A" w:rsidP="003C2F7A">
      <w:pPr>
        <w:pStyle w:val="Paragraphedeliste"/>
        <w:spacing w:after="0" w:line="240" w:lineRule="auto"/>
        <w:ind w:left="0"/>
        <w:jc w:val="both"/>
      </w:pPr>
      <w:r w:rsidRPr="00B25770">
        <w:t>Conformément aux dispositions légales en vigueur et à l’issue du délai d’opposition, le présent avenant sera déposé en deux exemplaires originaux, le premier en version papier, le second en version électronique auprès de la Direction Régionale des Entreprises, de la Concurrence et de la Consommation, du Travail et de l’Emploi des Hauts de Seine.</w:t>
      </w:r>
    </w:p>
    <w:p w:rsidR="003C2F7A" w:rsidRPr="00B25770" w:rsidRDefault="003C2F7A" w:rsidP="003C2F7A">
      <w:pPr>
        <w:pStyle w:val="Paragraphedeliste"/>
        <w:spacing w:after="0" w:line="240" w:lineRule="auto"/>
        <w:ind w:left="0"/>
        <w:jc w:val="both"/>
      </w:pPr>
    </w:p>
    <w:p w:rsidR="003C2F7A" w:rsidRPr="00B25770" w:rsidRDefault="003C2F7A" w:rsidP="003C2F7A">
      <w:pPr>
        <w:pStyle w:val="Paragraphedeliste"/>
        <w:spacing w:after="0" w:line="240" w:lineRule="auto"/>
        <w:ind w:left="0"/>
        <w:jc w:val="both"/>
      </w:pPr>
      <w:r w:rsidRPr="00B25770">
        <w:t>Un exemplaire du présent avenant sera également déposé au secrétariat-greffe du Conseil des Prud’hommes de Nanterre.</w:t>
      </w:r>
    </w:p>
    <w:p w:rsidR="003C2F7A" w:rsidRPr="00B25770" w:rsidRDefault="003C2F7A" w:rsidP="003C2F7A">
      <w:pPr>
        <w:pStyle w:val="Paragraphedeliste"/>
        <w:spacing w:after="0" w:line="240" w:lineRule="auto"/>
        <w:ind w:left="0"/>
        <w:jc w:val="both"/>
      </w:pPr>
    </w:p>
    <w:p w:rsidR="003C2F7A" w:rsidRPr="00B25770" w:rsidRDefault="003C2F7A" w:rsidP="003C2F7A">
      <w:pPr>
        <w:pStyle w:val="Paragraphedeliste"/>
        <w:spacing w:after="0" w:line="240" w:lineRule="auto"/>
        <w:ind w:left="0"/>
        <w:jc w:val="both"/>
      </w:pPr>
      <w:r w:rsidRPr="00B25770">
        <w:t xml:space="preserve">Les salariés de l’UES Capgemini seront informés de la signature du présent avenant par voie d’affichage sur le web social et par tout moyen de communication habituellement en vigueur au sein de chaque établissement. </w:t>
      </w:r>
    </w:p>
    <w:p w:rsidR="00314845" w:rsidRPr="00B25770" w:rsidRDefault="00314845">
      <w:r w:rsidRPr="00B25770">
        <w:br w:type="page"/>
      </w:r>
    </w:p>
    <w:p w:rsidR="003C2F7A" w:rsidRPr="00B25770" w:rsidRDefault="003C2F7A" w:rsidP="003C2F7A">
      <w:pPr>
        <w:pStyle w:val="Paragraphedeliste"/>
        <w:spacing w:after="0" w:line="240" w:lineRule="auto"/>
        <w:ind w:left="0"/>
        <w:jc w:val="both"/>
      </w:pPr>
    </w:p>
    <w:p w:rsidR="003C2F7A" w:rsidRPr="00B25770" w:rsidRDefault="003C2F7A" w:rsidP="003C2F7A">
      <w:pPr>
        <w:pStyle w:val="Paragraphedeliste"/>
        <w:spacing w:after="0" w:line="240" w:lineRule="auto"/>
        <w:ind w:left="0"/>
        <w:jc w:val="both"/>
      </w:pPr>
      <w:r w:rsidRPr="00B25770">
        <w:t xml:space="preserve">Fait à Suresnes, le </w:t>
      </w:r>
      <w:r w:rsidR="00B25770" w:rsidRPr="00B25770">
        <w:t>9 novembre 2017</w:t>
      </w:r>
    </w:p>
    <w:p w:rsidR="003C2F7A" w:rsidRPr="00B25770" w:rsidRDefault="003C2F7A" w:rsidP="003C2F7A">
      <w:pPr>
        <w:pStyle w:val="Paragraphedeliste"/>
        <w:spacing w:after="0" w:line="240" w:lineRule="auto"/>
        <w:ind w:left="0"/>
        <w:jc w:val="both"/>
      </w:pPr>
    </w:p>
    <w:p w:rsidR="003C2F7A" w:rsidRPr="00B25770" w:rsidRDefault="003C2F7A" w:rsidP="003C2F7A">
      <w:pPr>
        <w:pStyle w:val="Paragraphedeliste"/>
        <w:spacing w:after="0" w:line="240" w:lineRule="auto"/>
        <w:ind w:left="0"/>
        <w:jc w:val="both"/>
      </w:pPr>
      <w:r w:rsidRPr="00B25770">
        <w:t>En 9 exemplaires originaux</w:t>
      </w:r>
    </w:p>
    <w:p w:rsidR="003C2F7A" w:rsidRPr="00B25770" w:rsidRDefault="003C2F7A" w:rsidP="003C2F7A">
      <w:pPr>
        <w:pStyle w:val="Paragraphedeliste"/>
        <w:spacing w:after="0" w:line="240" w:lineRule="auto"/>
        <w:ind w:left="0"/>
        <w:jc w:val="both"/>
      </w:pPr>
    </w:p>
    <w:p w:rsidR="003C2F7A" w:rsidRPr="00B25770" w:rsidRDefault="003C2F7A" w:rsidP="003C2F7A">
      <w:pPr>
        <w:pStyle w:val="Paragraphedeliste"/>
        <w:spacing w:after="0" w:line="240" w:lineRule="auto"/>
        <w:ind w:left="0"/>
        <w:jc w:val="both"/>
      </w:pPr>
    </w:p>
    <w:p w:rsidR="003C2F7A" w:rsidRPr="00B25770" w:rsidRDefault="003C2F7A" w:rsidP="003C2F7A">
      <w:pPr>
        <w:pStyle w:val="Paragraphedeliste"/>
        <w:tabs>
          <w:tab w:val="left" w:pos="5103"/>
        </w:tabs>
        <w:spacing w:after="0" w:line="240" w:lineRule="auto"/>
        <w:ind w:left="0"/>
        <w:jc w:val="both"/>
        <w:rPr>
          <w:b/>
        </w:rPr>
      </w:pPr>
      <w:r w:rsidRPr="00B25770">
        <w:rPr>
          <w:b/>
        </w:rPr>
        <w:t>Pour les sociétés de l’UES Capgemini</w:t>
      </w:r>
      <w:r w:rsidRPr="00B25770">
        <w:rPr>
          <w:b/>
        </w:rPr>
        <w:tab/>
        <w:t>Pour la F3C-CFDT</w:t>
      </w:r>
    </w:p>
    <w:p w:rsidR="003C2F7A" w:rsidRPr="00B25770" w:rsidRDefault="003C2F7A" w:rsidP="003C2F7A">
      <w:pPr>
        <w:pStyle w:val="Paragraphedeliste"/>
        <w:spacing w:after="0" w:line="240" w:lineRule="auto"/>
        <w:ind w:left="0"/>
      </w:pPr>
    </w:p>
    <w:p w:rsidR="003C2F7A" w:rsidRPr="00B25770" w:rsidRDefault="003C2F7A" w:rsidP="003C2F7A">
      <w:pPr>
        <w:pStyle w:val="Paragraphedeliste"/>
        <w:spacing w:after="0" w:line="240" w:lineRule="auto"/>
        <w:ind w:left="0"/>
      </w:pPr>
    </w:p>
    <w:p w:rsidR="003C2F7A" w:rsidRPr="00B25770" w:rsidRDefault="003C2F7A" w:rsidP="003C2F7A">
      <w:pPr>
        <w:pStyle w:val="Paragraphedeliste"/>
        <w:spacing w:after="0" w:line="240" w:lineRule="auto"/>
        <w:ind w:left="0"/>
      </w:pPr>
    </w:p>
    <w:p w:rsidR="003C2F7A" w:rsidRPr="00B25770" w:rsidRDefault="003C2F7A" w:rsidP="003C2F7A">
      <w:pPr>
        <w:pStyle w:val="Paragraphedeliste"/>
        <w:spacing w:after="0" w:line="240" w:lineRule="auto"/>
        <w:ind w:left="0"/>
      </w:pPr>
    </w:p>
    <w:p w:rsidR="003C2F7A" w:rsidRPr="00B25770" w:rsidRDefault="003C2F7A" w:rsidP="003C2F7A">
      <w:pPr>
        <w:pStyle w:val="Paragraphedeliste"/>
        <w:spacing w:after="0" w:line="240" w:lineRule="auto"/>
        <w:ind w:left="0"/>
      </w:pPr>
    </w:p>
    <w:p w:rsidR="003C2F7A" w:rsidRPr="00B25770" w:rsidRDefault="003C2F7A" w:rsidP="003C2F7A">
      <w:pPr>
        <w:pStyle w:val="Paragraphedeliste"/>
        <w:spacing w:after="0" w:line="240" w:lineRule="auto"/>
        <w:ind w:left="0"/>
      </w:pPr>
    </w:p>
    <w:p w:rsidR="003C2F7A" w:rsidRPr="00B25770" w:rsidRDefault="003C2F7A" w:rsidP="003C2F7A">
      <w:pPr>
        <w:pStyle w:val="Paragraphedeliste"/>
        <w:tabs>
          <w:tab w:val="left" w:pos="5103"/>
        </w:tabs>
        <w:spacing w:after="0" w:line="240" w:lineRule="auto"/>
        <w:ind w:left="0"/>
        <w:rPr>
          <w:b/>
        </w:rPr>
      </w:pPr>
      <w:r w:rsidRPr="00B25770">
        <w:rPr>
          <w:b/>
        </w:rPr>
        <w:t>Pour le syndicat SNEPSSI (CFE-CGC)</w:t>
      </w:r>
      <w:r w:rsidRPr="00B25770">
        <w:rPr>
          <w:b/>
        </w:rPr>
        <w:tab/>
        <w:t>Pour le syndicat SICSTI (CFTC)</w:t>
      </w:r>
    </w:p>
    <w:p w:rsidR="003C2F7A" w:rsidRPr="00B25770" w:rsidRDefault="003C2F7A" w:rsidP="003C2F7A">
      <w:pPr>
        <w:pStyle w:val="Paragraphedeliste"/>
        <w:tabs>
          <w:tab w:val="left" w:pos="5103"/>
        </w:tabs>
        <w:spacing w:after="0" w:line="240" w:lineRule="auto"/>
        <w:ind w:left="0"/>
      </w:pPr>
    </w:p>
    <w:p w:rsidR="003C2F7A" w:rsidRPr="00B25770" w:rsidRDefault="003C2F7A" w:rsidP="003C2F7A">
      <w:pPr>
        <w:pStyle w:val="Paragraphedeliste"/>
        <w:tabs>
          <w:tab w:val="left" w:pos="5103"/>
        </w:tabs>
        <w:spacing w:after="0" w:line="240" w:lineRule="auto"/>
        <w:ind w:left="0"/>
      </w:pPr>
    </w:p>
    <w:p w:rsidR="003C2F7A" w:rsidRPr="00B25770" w:rsidRDefault="003C2F7A" w:rsidP="003C2F7A">
      <w:pPr>
        <w:pStyle w:val="Paragraphedeliste"/>
        <w:tabs>
          <w:tab w:val="left" w:pos="5103"/>
        </w:tabs>
        <w:spacing w:after="0" w:line="240" w:lineRule="auto"/>
        <w:ind w:left="0"/>
      </w:pPr>
    </w:p>
    <w:p w:rsidR="003C2F7A" w:rsidRPr="00B25770" w:rsidRDefault="003C2F7A" w:rsidP="003C2F7A">
      <w:pPr>
        <w:pStyle w:val="Paragraphedeliste"/>
        <w:tabs>
          <w:tab w:val="left" w:pos="5103"/>
        </w:tabs>
        <w:spacing w:after="0" w:line="240" w:lineRule="auto"/>
        <w:ind w:left="0"/>
      </w:pPr>
    </w:p>
    <w:p w:rsidR="003C2F7A" w:rsidRPr="00B25770" w:rsidRDefault="003C2F7A" w:rsidP="003C2F7A">
      <w:pPr>
        <w:pStyle w:val="Paragraphedeliste"/>
        <w:tabs>
          <w:tab w:val="left" w:pos="5103"/>
        </w:tabs>
        <w:spacing w:after="0" w:line="240" w:lineRule="auto"/>
        <w:ind w:left="0"/>
      </w:pPr>
    </w:p>
    <w:p w:rsidR="003C2F7A" w:rsidRPr="00B25770" w:rsidRDefault="003C2F7A" w:rsidP="003C2F7A">
      <w:pPr>
        <w:pStyle w:val="Paragraphedeliste"/>
        <w:tabs>
          <w:tab w:val="left" w:pos="5103"/>
        </w:tabs>
        <w:spacing w:after="0" w:line="240" w:lineRule="auto"/>
        <w:ind w:left="0"/>
      </w:pPr>
    </w:p>
    <w:p w:rsidR="003C2F7A" w:rsidRPr="00340708" w:rsidRDefault="003C2F7A" w:rsidP="003C2F7A">
      <w:pPr>
        <w:pStyle w:val="Paragraphedeliste"/>
        <w:tabs>
          <w:tab w:val="left" w:pos="5103"/>
        </w:tabs>
        <w:spacing w:after="0" w:line="240" w:lineRule="auto"/>
        <w:ind w:left="0"/>
        <w:rPr>
          <w:b/>
        </w:rPr>
      </w:pPr>
      <w:r w:rsidRPr="00B25770">
        <w:rPr>
          <w:b/>
        </w:rPr>
        <w:t>Pour la CGT Capgemini</w:t>
      </w:r>
      <w:r w:rsidRPr="00B25770">
        <w:rPr>
          <w:b/>
        </w:rPr>
        <w:tab/>
        <w:t>Pour FO</w:t>
      </w:r>
    </w:p>
    <w:p w:rsidR="00FF61BE" w:rsidRDefault="00A81E1B"/>
    <w:sectPr w:rsidR="00FF61B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E1B" w:rsidRDefault="00A81E1B">
      <w:pPr>
        <w:spacing w:after="0" w:line="240" w:lineRule="auto"/>
      </w:pPr>
      <w:r>
        <w:separator/>
      </w:r>
    </w:p>
  </w:endnote>
  <w:endnote w:type="continuationSeparator" w:id="0">
    <w:p w:rsidR="00A81E1B" w:rsidRDefault="00A8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5BD" w:rsidRPr="00356528" w:rsidRDefault="00B25770" w:rsidP="00356528">
    <w:pPr>
      <w:pStyle w:val="Pieddepage"/>
      <w:rPr>
        <w:sz w:val="16"/>
        <w:szCs w:val="16"/>
      </w:rPr>
    </w:pPr>
    <w:r>
      <w:rPr>
        <w:sz w:val="16"/>
        <w:szCs w:val="16"/>
      </w:rPr>
      <w:t>A</w:t>
    </w:r>
    <w:r w:rsidR="003C2F7A" w:rsidRPr="00356528">
      <w:rPr>
        <w:sz w:val="16"/>
        <w:szCs w:val="16"/>
      </w:rPr>
      <w:t xml:space="preserve">venant n°3 </w:t>
    </w:r>
    <w:r>
      <w:rPr>
        <w:sz w:val="16"/>
        <w:szCs w:val="16"/>
      </w:rPr>
      <w:t xml:space="preserve">du 9 novembre 2017 </w:t>
    </w:r>
    <w:r w:rsidR="003C2F7A" w:rsidRPr="00356528">
      <w:rPr>
        <w:sz w:val="16"/>
        <w:szCs w:val="16"/>
      </w:rPr>
      <w:t xml:space="preserve">à l’accord du 2 octobre 2006 sur le régime de </w:t>
    </w:r>
    <w:r w:rsidR="003C2F7A">
      <w:rPr>
        <w:sz w:val="16"/>
        <w:szCs w:val="16"/>
      </w:rPr>
      <w:t xml:space="preserve">prévoyance </w:t>
    </w:r>
    <w:r w:rsidR="003C2F7A" w:rsidRPr="00356528">
      <w:rPr>
        <w:sz w:val="16"/>
        <w:szCs w:val="16"/>
      </w:rPr>
      <w:t xml:space="preserve"> de l’UES Capgemini </w:t>
    </w:r>
    <w:r w:rsidR="003C2F7A" w:rsidRPr="00356528">
      <w:rPr>
        <w:sz w:val="16"/>
        <w:szCs w:val="16"/>
      </w:rPr>
      <w:tab/>
    </w:r>
    <w:sdt>
      <w:sdtPr>
        <w:rPr>
          <w:sz w:val="16"/>
          <w:szCs w:val="16"/>
        </w:rPr>
        <w:id w:val="-2036495765"/>
        <w:docPartObj>
          <w:docPartGallery w:val="Page Numbers (Bottom of Page)"/>
          <w:docPartUnique/>
        </w:docPartObj>
      </w:sdtPr>
      <w:sdtEndPr/>
      <w:sdtContent>
        <w:r w:rsidR="003C2F7A">
          <w:rPr>
            <w:sz w:val="16"/>
            <w:szCs w:val="16"/>
          </w:rPr>
          <w:tab/>
        </w:r>
        <w:r w:rsidR="003C2F7A" w:rsidRPr="00356528">
          <w:rPr>
            <w:sz w:val="16"/>
            <w:szCs w:val="16"/>
          </w:rPr>
          <w:fldChar w:fldCharType="begin"/>
        </w:r>
        <w:r w:rsidR="003C2F7A" w:rsidRPr="00356528">
          <w:rPr>
            <w:sz w:val="16"/>
            <w:szCs w:val="16"/>
          </w:rPr>
          <w:instrText>PAGE   \* MERGEFORMAT</w:instrText>
        </w:r>
        <w:r w:rsidR="003C2F7A" w:rsidRPr="00356528">
          <w:rPr>
            <w:sz w:val="16"/>
            <w:szCs w:val="16"/>
          </w:rPr>
          <w:fldChar w:fldCharType="separate"/>
        </w:r>
        <w:r w:rsidR="004F6A37">
          <w:rPr>
            <w:noProof/>
            <w:sz w:val="16"/>
            <w:szCs w:val="16"/>
          </w:rPr>
          <w:t>1</w:t>
        </w:r>
        <w:r w:rsidR="003C2F7A" w:rsidRPr="00356528">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E1B" w:rsidRDefault="00A81E1B">
      <w:pPr>
        <w:spacing w:after="0" w:line="240" w:lineRule="auto"/>
      </w:pPr>
      <w:r>
        <w:separator/>
      </w:r>
    </w:p>
  </w:footnote>
  <w:footnote w:type="continuationSeparator" w:id="0">
    <w:p w:rsidR="00A81E1B" w:rsidRDefault="00A81E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64AA2"/>
    <w:multiLevelType w:val="hybridMultilevel"/>
    <w:tmpl w:val="34867EFC"/>
    <w:lvl w:ilvl="0" w:tplc="16F40B3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7A"/>
    <w:rsid w:val="000C4DF9"/>
    <w:rsid w:val="001145F7"/>
    <w:rsid w:val="002F11A7"/>
    <w:rsid w:val="00314845"/>
    <w:rsid w:val="003C2F7A"/>
    <w:rsid w:val="003D21CD"/>
    <w:rsid w:val="003D4EB3"/>
    <w:rsid w:val="004444EB"/>
    <w:rsid w:val="00453D38"/>
    <w:rsid w:val="004625AA"/>
    <w:rsid w:val="004C414E"/>
    <w:rsid w:val="004D470E"/>
    <w:rsid w:val="004F6A37"/>
    <w:rsid w:val="00530434"/>
    <w:rsid w:val="005C4C7A"/>
    <w:rsid w:val="006149A8"/>
    <w:rsid w:val="00616D6B"/>
    <w:rsid w:val="00641D63"/>
    <w:rsid w:val="006C063E"/>
    <w:rsid w:val="006E5AC9"/>
    <w:rsid w:val="00706876"/>
    <w:rsid w:val="007618B1"/>
    <w:rsid w:val="007C6230"/>
    <w:rsid w:val="007D5D11"/>
    <w:rsid w:val="007D6316"/>
    <w:rsid w:val="00805253"/>
    <w:rsid w:val="008B2E20"/>
    <w:rsid w:val="008E39D2"/>
    <w:rsid w:val="008F592A"/>
    <w:rsid w:val="00935430"/>
    <w:rsid w:val="00A71FAA"/>
    <w:rsid w:val="00A81E1B"/>
    <w:rsid w:val="00B25770"/>
    <w:rsid w:val="00B86C55"/>
    <w:rsid w:val="00B876C0"/>
    <w:rsid w:val="00C12668"/>
    <w:rsid w:val="00CD2329"/>
    <w:rsid w:val="00D72DD4"/>
    <w:rsid w:val="00DE7DF9"/>
    <w:rsid w:val="00E647B8"/>
    <w:rsid w:val="00F46257"/>
    <w:rsid w:val="00FE11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5DB8C1-5F25-4DF6-8FC2-5E2E2718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F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2F7A"/>
    <w:pPr>
      <w:tabs>
        <w:tab w:val="center" w:pos="4536"/>
        <w:tab w:val="right" w:pos="9072"/>
      </w:tabs>
      <w:spacing w:after="0" w:line="240" w:lineRule="auto"/>
    </w:pPr>
  </w:style>
  <w:style w:type="character" w:customStyle="1" w:styleId="En-tteCar">
    <w:name w:val="En-tête Car"/>
    <w:basedOn w:val="Policepardfaut"/>
    <w:link w:val="En-tte"/>
    <w:uiPriority w:val="99"/>
    <w:rsid w:val="003C2F7A"/>
  </w:style>
  <w:style w:type="paragraph" w:styleId="Pieddepage">
    <w:name w:val="footer"/>
    <w:basedOn w:val="Normal"/>
    <w:link w:val="PieddepageCar"/>
    <w:uiPriority w:val="99"/>
    <w:unhideWhenUsed/>
    <w:rsid w:val="003C2F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2F7A"/>
  </w:style>
  <w:style w:type="paragraph" w:styleId="Paragraphedeliste">
    <w:name w:val="List Paragraph"/>
    <w:basedOn w:val="Normal"/>
    <w:uiPriority w:val="34"/>
    <w:qFormat/>
    <w:rsid w:val="003C2F7A"/>
    <w:pPr>
      <w:ind w:left="720"/>
      <w:contextualSpacing/>
    </w:pPr>
  </w:style>
  <w:style w:type="table" w:styleId="Grilledutableau">
    <w:name w:val="Table Grid"/>
    <w:basedOn w:val="TableauNormal"/>
    <w:uiPriority w:val="39"/>
    <w:rsid w:val="003C2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145F7"/>
    <w:rPr>
      <w:sz w:val="16"/>
      <w:szCs w:val="16"/>
    </w:rPr>
  </w:style>
  <w:style w:type="paragraph" w:styleId="Commentaire">
    <w:name w:val="annotation text"/>
    <w:basedOn w:val="Normal"/>
    <w:link w:val="CommentaireCar"/>
    <w:uiPriority w:val="99"/>
    <w:unhideWhenUsed/>
    <w:rsid w:val="001145F7"/>
    <w:pPr>
      <w:spacing w:line="240" w:lineRule="auto"/>
    </w:pPr>
    <w:rPr>
      <w:sz w:val="20"/>
      <w:szCs w:val="20"/>
    </w:rPr>
  </w:style>
  <w:style w:type="character" w:customStyle="1" w:styleId="CommentaireCar">
    <w:name w:val="Commentaire Car"/>
    <w:basedOn w:val="Policepardfaut"/>
    <w:link w:val="Commentaire"/>
    <w:uiPriority w:val="99"/>
    <w:rsid w:val="001145F7"/>
    <w:rPr>
      <w:sz w:val="20"/>
      <w:szCs w:val="20"/>
    </w:rPr>
  </w:style>
  <w:style w:type="paragraph" w:styleId="Textedebulles">
    <w:name w:val="Balloon Text"/>
    <w:basedOn w:val="Normal"/>
    <w:link w:val="TextedebullesCar"/>
    <w:uiPriority w:val="99"/>
    <w:semiHidden/>
    <w:unhideWhenUsed/>
    <w:rsid w:val="001145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45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D4253-FF71-4E41-907A-05D2CDE69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1266</Words>
  <Characters>6969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Capgemini</Company>
  <LinksUpToDate>false</LinksUpToDate>
  <CharactersWithSpaces>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COGET, Pierre-Alain</dc:creator>
  <cp:keywords/>
  <dc:description/>
  <cp:lastModifiedBy>COGET, Pierre-Alain</cp:lastModifiedBy>
  <cp:revision>2</cp:revision>
  <cp:lastPrinted>2017-11-06T16:34:00Z</cp:lastPrinted>
  <dcterms:created xsi:type="dcterms:W3CDTF">2017-11-08T09:28:00Z</dcterms:created>
  <dcterms:modified xsi:type="dcterms:W3CDTF">2017-11-08T09:28:00Z</dcterms:modified>
</cp:coreProperties>
</file>